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706C35">
      <w:pPr>
        <w:pStyle w:val="7"/>
        <w:spacing w:before="120" w:beforeAutospacing="0" w:after="120" w:afterAutospacing="0" w:line="360" w:lineRule="auto"/>
        <w:jc w:val="center"/>
        <w:rPr>
          <w:color w:val="auto"/>
          <w:highlight w:val="none"/>
        </w:rPr>
      </w:pPr>
      <w:bookmarkStart w:id="204" w:name="_GoBack"/>
      <w:r>
        <w:rPr>
          <w:rFonts w:ascii="Arial" w:hAnsi="Arial" w:cs="Arial"/>
          <w:b/>
          <w:color w:val="auto"/>
          <w:sz w:val="84"/>
          <w:szCs w:val="84"/>
          <w:highlight w:val="none"/>
        </w:rPr>
        <w:t>招 标 文 件</w:t>
      </w:r>
    </w:p>
    <w:p w14:paraId="68055AE2">
      <w:pPr>
        <w:pStyle w:val="7"/>
        <w:spacing w:before="120" w:beforeAutospacing="0" w:after="120" w:afterAutospacing="0" w:line="360" w:lineRule="auto"/>
        <w:rPr>
          <w:rFonts w:hint="eastAsia" w:eastAsiaTheme="minorEastAsia"/>
          <w:color w:val="auto"/>
          <w:highlight w:val="none"/>
          <w:lang w:eastAsia="zh-CN"/>
        </w:rPr>
      </w:pPr>
      <w:r>
        <w:rPr>
          <w:rFonts w:ascii="Arial" w:hAnsi="Arial" w:cs="Arial"/>
          <w:b/>
          <w:color w:val="auto"/>
          <w:sz w:val="32"/>
          <w:szCs w:val="32"/>
          <w:highlight w:val="none"/>
        </w:rPr>
        <w:t>项目名称：</w:t>
      </w:r>
      <w:r>
        <w:rPr>
          <w:rFonts w:hint="eastAsia" w:ascii="Arial" w:hAnsi="Arial" w:cs="Arial"/>
          <w:b/>
          <w:color w:val="auto"/>
          <w:sz w:val="32"/>
          <w:szCs w:val="32"/>
          <w:highlight w:val="none"/>
          <w:lang w:eastAsia="zh-CN"/>
        </w:rPr>
        <w:t>盐城市公安局盐南高新技术产业开发区分局食堂外包服务项目</w:t>
      </w:r>
    </w:p>
    <w:p w14:paraId="71C0354E">
      <w:pPr>
        <w:pStyle w:val="7"/>
        <w:spacing w:beforeAutospacing="0" w:afterAutospacing="0"/>
        <w:jc w:val="both"/>
        <w:rPr>
          <w:color w:val="auto"/>
          <w:highlight w:val="none"/>
        </w:rPr>
      </w:pPr>
      <w:r>
        <w:rPr>
          <w:rFonts w:ascii="Times New Roman" w:hAnsi="Times New Roman"/>
          <w:b/>
          <w:color w:val="auto"/>
          <w:sz w:val="32"/>
          <w:szCs w:val="32"/>
          <w:highlight w:val="none"/>
        </w:rPr>
        <w:t>项目编</w:t>
      </w:r>
      <w:r>
        <w:rPr>
          <w:rFonts w:hint="eastAsia" w:ascii="Times New Roman" w:hAnsi="Times New Roman"/>
          <w:b/>
          <w:color w:val="auto"/>
          <w:sz w:val="32"/>
          <w:szCs w:val="32"/>
          <w:highlight w:val="none"/>
          <w:lang w:eastAsia="zh-CN"/>
        </w:rPr>
        <w:t>号：</w:t>
      </w:r>
      <w:r>
        <w:rPr>
          <w:rFonts w:hint="eastAsia" w:ascii="Arial" w:hAnsi="Arial" w:cs="Arial"/>
          <w:b/>
          <w:color w:val="auto"/>
          <w:sz w:val="32"/>
          <w:szCs w:val="32"/>
          <w:highlight w:val="none"/>
          <w:lang w:eastAsia="zh-CN"/>
        </w:rPr>
        <w:t>JSZC-320992-YCZH-G2026-0009</w:t>
      </w:r>
    </w:p>
    <w:p w14:paraId="5FB8CF23">
      <w:pPr>
        <w:pStyle w:val="7"/>
        <w:spacing w:beforeAutospacing="0" w:afterAutospacing="0" w:line="360" w:lineRule="auto"/>
        <w:rPr>
          <w:color w:val="auto"/>
          <w:highlight w:val="none"/>
        </w:rPr>
      </w:pPr>
      <w:r>
        <w:rPr>
          <w:color w:val="auto"/>
          <w:highlight w:val="none"/>
        </w:rPr>
        <w:t> </w:t>
      </w:r>
    </w:p>
    <w:p w14:paraId="63C28461">
      <w:pPr>
        <w:pStyle w:val="7"/>
        <w:spacing w:beforeAutospacing="0" w:afterAutospacing="0" w:line="360" w:lineRule="auto"/>
        <w:rPr>
          <w:color w:val="auto"/>
          <w:highlight w:val="none"/>
        </w:rPr>
      </w:pPr>
      <w:r>
        <w:rPr>
          <w:color w:val="auto"/>
          <w:highlight w:val="none"/>
        </w:rPr>
        <w:t> </w:t>
      </w:r>
    </w:p>
    <w:p w14:paraId="0EB6F4E9">
      <w:pPr>
        <w:pStyle w:val="7"/>
        <w:spacing w:beforeAutospacing="0" w:afterAutospacing="0" w:line="360" w:lineRule="auto"/>
        <w:rPr>
          <w:color w:val="auto"/>
          <w:highlight w:val="none"/>
        </w:rPr>
      </w:pPr>
      <w:r>
        <w:rPr>
          <w:color w:val="auto"/>
          <w:highlight w:val="none"/>
        </w:rPr>
        <w:t> </w:t>
      </w:r>
    </w:p>
    <w:p w14:paraId="20C8F154">
      <w:pPr>
        <w:pStyle w:val="7"/>
        <w:spacing w:beforeAutospacing="0" w:afterAutospacing="0" w:line="360" w:lineRule="auto"/>
        <w:rPr>
          <w:color w:val="auto"/>
          <w:highlight w:val="none"/>
        </w:rPr>
      </w:pPr>
      <w:r>
        <w:rPr>
          <w:color w:val="auto"/>
          <w:highlight w:val="none"/>
        </w:rPr>
        <w:t> </w:t>
      </w:r>
    </w:p>
    <w:p w14:paraId="58AAD2E1">
      <w:pPr>
        <w:pStyle w:val="7"/>
        <w:spacing w:beforeAutospacing="0" w:afterAutospacing="0" w:line="360" w:lineRule="auto"/>
        <w:rPr>
          <w:color w:val="auto"/>
          <w:highlight w:val="none"/>
        </w:rPr>
      </w:pPr>
      <w:r>
        <w:rPr>
          <w:color w:val="auto"/>
          <w:highlight w:val="none"/>
        </w:rPr>
        <w:t> </w:t>
      </w:r>
    </w:p>
    <w:p w14:paraId="7AB89A8C">
      <w:pPr>
        <w:pStyle w:val="7"/>
        <w:spacing w:beforeAutospacing="0" w:afterAutospacing="0" w:line="360" w:lineRule="auto"/>
        <w:rPr>
          <w:color w:val="auto"/>
          <w:highlight w:val="none"/>
        </w:rPr>
      </w:pPr>
      <w:r>
        <w:rPr>
          <w:color w:val="auto"/>
          <w:highlight w:val="none"/>
        </w:rPr>
        <w:t> </w:t>
      </w:r>
    </w:p>
    <w:p w14:paraId="354A2488">
      <w:pPr>
        <w:pStyle w:val="7"/>
        <w:spacing w:beforeAutospacing="0" w:afterAutospacing="0" w:line="360" w:lineRule="auto"/>
        <w:rPr>
          <w:color w:val="auto"/>
          <w:highlight w:val="none"/>
        </w:rPr>
      </w:pPr>
      <w:r>
        <w:rPr>
          <w:color w:val="auto"/>
          <w:highlight w:val="none"/>
        </w:rPr>
        <w:t> </w:t>
      </w:r>
    </w:p>
    <w:p w14:paraId="00D70461">
      <w:pPr>
        <w:pStyle w:val="7"/>
        <w:spacing w:before="120" w:beforeAutospacing="0" w:after="120" w:afterAutospacing="0" w:line="360" w:lineRule="auto"/>
        <w:jc w:val="center"/>
        <w:rPr>
          <w:rFonts w:hint="eastAsia" w:ascii="Arial" w:hAnsi="Arial" w:cs="Arial"/>
          <w:b/>
          <w:color w:val="auto"/>
          <w:sz w:val="32"/>
          <w:szCs w:val="32"/>
          <w:highlight w:val="none"/>
        </w:rPr>
      </w:pPr>
      <w:r>
        <w:rPr>
          <w:rFonts w:hint="eastAsia" w:ascii="Arial" w:hAnsi="Arial" w:cs="Arial"/>
          <w:b/>
          <w:color w:val="auto"/>
          <w:sz w:val="32"/>
          <w:szCs w:val="32"/>
          <w:highlight w:val="none"/>
        </w:rPr>
        <w:t>盐城市公安局盐南高新技术产业开发区分局</w:t>
      </w:r>
    </w:p>
    <w:p w14:paraId="7D901980">
      <w:pPr>
        <w:pStyle w:val="7"/>
        <w:spacing w:before="120" w:beforeAutospacing="0" w:after="120" w:afterAutospacing="0" w:line="360" w:lineRule="auto"/>
        <w:jc w:val="center"/>
        <w:rPr>
          <w:rFonts w:hint="eastAsia" w:ascii="Arial" w:hAnsi="Arial" w:cs="Arial" w:eastAsiaTheme="minorEastAsia"/>
          <w:b/>
          <w:color w:val="auto"/>
          <w:sz w:val="32"/>
          <w:szCs w:val="32"/>
          <w:highlight w:val="none"/>
          <w:lang w:val="en-US" w:eastAsia="zh-CN"/>
        </w:rPr>
      </w:pPr>
      <w:r>
        <w:rPr>
          <w:rFonts w:hint="eastAsia" w:ascii="Arial" w:hAnsi="Arial" w:cs="Arial"/>
          <w:b/>
          <w:color w:val="auto"/>
          <w:sz w:val="32"/>
          <w:szCs w:val="32"/>
          <w:highlight w:val="none"/>
          <w:lang w:val="en-US" w:eastAsia="zh-CN"/>
        </w:rPr>
        <w:t>盐城市智禾项目管理有限公司</w:t>
      </w:r>
    </w:p>
    <w:p w14:paraId="53D2C2F8">
      <w:pPr>
        <w:pStyle w:val="7"/>
        <w:spacing w:before="120" w:beforeAutospacing="0" w:after="120" w:afterAutospacing="0" w:line="360" w:lineRule="auto"/>
        <w:jc w:val="center"/>
        <w:rPr>
          <w:color w:val="auto"/>
          <w:highlight w:val="none"/>
        </w:rPr>
      </w:pPr>
      <w:r>
        <w:rPr>
          <w:rFonts w:hint="eastAsia" w:ascii="Arial" w:hAnsi="Arial" w:cs="Arial"/>
          <w:b/>
          <w:color w:val="auto"/>
          <w:sz w:val="32"/>
          <w:szCs w:val="32"/>
          <w:highlight w:val="none"/>
          <w:lang w:val="en-US" w:eastAsia="zh-CN"/>
        </w:rPr>
        <w:t>2026</w:t>
      </w:r>
      <w:r>
        <w:rPr>
          <w:rFonts w:ascii="Arial" w:hAnsi="Arial" w:cs="Arial"/>
          <w:b/>
          <w:color w:val="auto"/>
          <w:sz w:val="32"/>
          <w:szCs w:val="32"/>
          <w:highlight w:val="none"/>
        </w:rPr>
        <w:t>年</w:t>
      </w:r>
      <w:r>
        <w:rPr>
          <w:rFonts w:hint="eastAsia" w:ascii="Arial" w:hAnsi="Arial" w:cs="Arial"/>
          <w:b/>
          <w:color w:val="auto"/>
          <w:sz w:val="32"/>
          <w:szCs w:val="32"/>
          <w:highlight w:val="none"/>
          <w:lang w:val="en-US" w:eastAsia="zh-CN"/>
        </w:rPr>
        <w:t>6</w:t>
      </w:r>
      <w:r>
        <w:rPr>
          <w:rFonts w:ascii="Arial" w:hAnsi="Arial" w:cs="Arial"/>
          <w:b/>
          <w:color w:val="auto"/>
          <w:sz w:val="32"/>
          <w:szCs w:val="32"/>
          <w:highlight w:val="none"/>
        </w:rPr>
        <w:t>月</w:t>
      </w:r>
    </w:p>
    <w:p w14:paraId="1E186845">
      <w:pPr>
        <w:pStyle w:val="7"/>
        <w:spacing w:before="120" w:beforeAutospacing="0" w:after="120" w:afterAutospacing="0" w:line="360" w:lineRule="auto"/>
        <w:rPr>
          <w:color w:val="auto"/>
          <w:highlight w:val="none"/>
        </w:rPr>
      </w:pPr>
      <w:r>
        <w:rPr>
          <w:rFonts w:ascii="Arial" w:hAnsi="Arial" w:cs="Arial"/>
          <w:color w:val="auto"/>
          <w:highlight w:val="none"/>
        </w:rPr>
        <w:t xml:space="preserve">                        </w:t>
      </w:r>
    </w:p>
    <w:p w14:paraId="43D7875B">
      <w:pPr>
        <w:pStyle w:val="7"/>
        <w:spacing w:before="120" w:beforeAutospacing="0" w:after="120" w:afterAutospacing="0" w:line="360" w:lineRule="auto"/>
        <w:jc w:val="center"/>
        <w:rPr>
          <w:color w:val="auto"/>
          <w:highlight w:val="none"/>
        </w:rPr>
      </w:pPr>
      <w:r>
        <w:rPr>
          <w:color w:val="auto"/>
          <w:highlight w:val="none"/>
        </w:rPr>
        <w:t> </w:t>
      </w:r>
    </w:p>
    <w:p w14:paraId="7E3F9EDB">
      <w:pPr>
        <w:pStyle w:val="7"/>
        <w:spacing w:beforeAutospacing="0" w:afterAutospacing="0" w:line="480" w:lineRule="auto"/>
        <w:jc w:val="center"/>
        <w:rPr>
          <w:color w:val="auto"/>
          <w:highlight w:val="none"/>
        </w:rPr>
      </w:pPr>
      <w:r>
        <w:rPr>
          <w:rFonts w:ascii="Times New Roman" w:hAnsi="Times New Roman"/>
          <w:color w:val="auto"/>
          <w:sz w:val="21"/>
          <w:szCs w:val="21"/>
          <w:highlight w:val="none"/>
        </w:rPr>
        <w:br w:type="page"/>
      </w:r>
      <w:r>
        <w:rPr>
          <w:rFonts w:ascii="Times New Roman" w:hAnsi="Times New Roman"/>
          <w:color w:val="auto"/>
          <w:sz w:val="21"/>
          <w:szCs w:val="21"/>
          <w:highlight w:val="none"/>
        </w:rPr>
        <w:t> </w:t>
      </w:r>
      <w:bookmarkStart w:id="0" w:name="_Toc479757206"/>
      <w:bookmarkStart w:id="1" w:name="_Toc120614210"/>
      <w:bookmarkStart w:id="2" w:name="_Toc16938516"/>
      <w:bookmarkStart w:id="3" w:name="_Toc20823272"/>
      <w:bookmarkStart w:id="4" w:name="_Toc513029200"/>
      <w:bookmarkStart w:id="5" w:name="_Toc523127445"/>
      <w:r>
        <w:rPr>
          <w:rFonts w:ascii="Times New Roman" w:hAnsi="Times New Roman"/>
          <w:color w:val="auto"/>
          <w:sz w:val="21"/>
          <w:szCs w:val="21"/>
          <w:highlight w:val="none"/>
        </w:rPr>
        <w:t> </w:t>
      </w:r>
      <w:r>
        <w:rPr>
          <w:rFonts w:ascii="黑体" w:hAnsi="宋体" w:eastAsia="黑体" w:cs="黑体"/>
          <w:b/>
          <w:color w:val="auto"/>
          <w:sz w:val="44"/>
          <w:szCs w:val="44"/>
          <w:highlight w:val="none"/>
        </w:rPr>
        <w:t>总  目  录</w:t>
      </w:r>
      <w:bookmarkEnd w:id="0"/>
      <w:bookmarkEnd w:id="1"/>
      <w:bookmarkEnd w:id="2"/>
      <w:bookmarkEnd w:id="3"/>
      <w:bookmarkEnd w:id="4"/>
      <w:bookmarkEnd w:id="5"/>
    </w:p>
    <w:p w14:paraId="757B633D">
      <w:pPr>
        <w:pStyle w:val="7"/>
        <w:spacing w:beforeAutospacing="0" w:afterAutospacing="0" w:line="480" w:lineRule="auto"/>
        <w:jc w:val="both"/>
        <w:rPr>
          <w:color w:val="auto"/>
          <w:highlight w:val="none"/>
        </w:rPr>
      </w:pPr>
      <w:r>
        <w:rPr>
          <w:color w:val="auto"/>
          <w:highlight w:val="none"/>
        </w:rPr>
        <w:t> </w:t>
      </w:r>
    </w:p>
    <w:p w14:paraId="0577EAF4">
      <w:pPr>
        <w:pStyle w:val="7"/>
        <w:tabs>
          <w:tab w:val="left" w:pos="1441"/>
        </w:tabs>
        <w:spacing w:beforeAutospacing="0" w:afterAutospacing="0" w:line="480" w:lineRule="auto"/>
        <w:ind w:left="2160" w:hanging="1440"/>
        <w:jc w:val="both"/>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招标公告</w:t>
      </w:r>
      <w:r>
        <w:rPr>
          <w:rFonts w:hint="eastAsia" w:ascii="黑体" w:hAnsi="宋体" w:eastAsia="黑体" w:cs="黑体"/>
          <w:color w:val="auto"/>
          <w:sz w:val="36"/>
          <w:szCs w:val="36"/>
          <w:highlight w:val="none"/>
        </w:rPr>
        <w:t>……………………………………</w:t>
      </w:r>
      <w:r>
        <w:rPr>
          <w:rFonts w:hint="eastAsia" w:ascii="黑体" w:hAnsi="宋体" w:eastAsia="黑体" w:cs="黑体"/>
          <w:color w:val="auto"/>
          <w:sz w:val="36"/>
          <w:szCs w:val="36"/>
          <w:highlight w:val="none"/>
          <w:lang w:val="en-US" w:eastAsia="zh-CN"/>
        </w:rPr>
        <w:t>1</w:t>
      </w:r>
    </w:p>
    <w:p w14:paraId="19F4DF0B">
      <w:pPr>
        <w:pStyle w:val="7"/>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投标人须知…………………………………</w:t>
      </w:r>
      <w:r>
        <w:rPr>
          <w:rFonts w:hint="eastAsia" w:ascii="黑体" w:hAnsi="宋体" w:eastAsia="黑体" w:cs="黑体"/>
          <w:color w:val="auto"/>
          <w:sz w:val="36"/>
          <w:szCs w:val="36"/>
          <w:highlight w:val="none"/>
          <w:lang w:val="en-US" w:eastAsia="zh-CN"/>
        </w:rPr>
        <w:t>5</w:t>
      </w:r>
      <w:r>
        <w:rPr>
          <w:rFonts w:hint="eastAsia" w:ascii="黑体" w:hAnsi="宋体" w:eastAsia="黑体" w:cs="黑体"/>
          <w:color w:val="auto"/>
          <w:sz w:val="36"/>
          <w:szCs w:val="36"/>
          <w:highlight w:val="none"/>
        </w:rPr>
        <w:t xml:space="preserve"> </w:t>
      </w:r>
    </w:p>
    <w:p w14:paraId="519B4051">
      <w:pPr>
        <w:pStyle w:val="7"/>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合同文本……………………………………</w:t>
      </w:r>
      <w:r>
        <w:rPr>
          <w:rFonts w:hint="eastAsia" w:ascii="黑体" w:hAnsi="宋体" w:eastAsia="黑体" w:cs="黑体"/>
          <w:color w:val="auto"/>
          <w:sz w:val="36"/>
          <w:szCs w:val="36"/>
          <w:highlight w:val="none"/>
          <w:lang w:val="en-US" w:eastAsia="zh-CN"/>
        </w:rPr>
        <w:t>19</w:t>
      </w:r>
    </w:p>
    <w:p w14:paraId="4182B785">
      <w:pPr>
        <w:pStyle w:val="7"/>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采购需求……………………………………</w:t>
      </w:r>
      <w:r>
        <w:rPr>
          <w:rFonts w:hint="eastAsia" w:ascii="黑体" w:hAnsi="宋体" w:eastAsia="黑体" w:cs="黑体"/>
          <w:color w:val="auto"/>
          <w:sz w:val="36"/>
          <w:szCs w:val="36"/>
          <w:highlight w:val="none"/>
          <w:lang w:val="en-US" w:eastAsia="zh-CN"/>
        </w:rPr>
        <w:t>25</w:t>
      </w:r>
    </w:p>
    <w:p w14:paraId="1E5B7788">
      <w:pPr>
        <w:pStyle w:val="7"/>
        <w:tabs>
          <w:tab w:val="left" w:pos="1441"/>
        </w:tabs>
        <w:spacing w:beforeAutospacing="0" w:afterAutospacing="0" w:line="480" w:lineRule="auto"/>
        <w:ind w:left="2160" w:hanging="1440"/>
        <w:jc w:val="both"/>
        <w:rPr>
          <w:rFonts w:hint="eastAsia" w:ascii="黑体" w:hAnsi="宋体" w:eastAsia="黑体" w:cs="黑体"/>
          <w:color w:val="auto"/>
          <w:sz w:val="36"/>
          <w:szCs w:val="36"/>
          <w:highlight w:val="none"/>
          <w:lang w:val="en-US" w:eastAsia="zh-CN"/>
        </w:rPr>
      </w:pPr>
      <w:r>
        <w:rPr>
          <w:rFonts w:hint="eastAsia" w:ascii="黑体" w:hAnsi="宋体" w:eastAsia="黑体" w:cs="黑体"/>
          <w:color w:val="auto"/>
          <w:sz w:val="36"/>
          <w:szCs w:val="36"/>
          <w:highlight w:val="none"/>
        </w:rPr>
        <w:t>评标方法与评标标准………………………</w:t>
      </w:r>
      <w:r>
        <w:rPr>
          <w:rFonts w:hint="eastAsia" w:ascii="黑体" w:hAnsi="宋体" w:eastAsia="黑体" w:cs="黑体"/>
          <w:color w:val="auto"/>
          <w:sz w:val="36"/>
          <w:szCs w:val="36"/>
          <w:highlight w:val="none"/>
          <w:lang w:val="en-US" w:eastAsia="zh-CN"/>
        </w:rPr>
        <w:t>36</w:t>
      </w:r>
    </w:p>
    <w:p w14:paraId="27D105D0">
      <w:pPr>
        <w:pStyle w:val="7"/>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投标文件格式………………………………</w:t>
      </w:r>
      <w:r>
        <w:rPr>
          <w:rFonts w:hint="eastAsia" w:ascii="黑体" w:hAnsi="宋体" w:eastAsia="黑体" w:cs="黑体"/>
          <w:color w:val="auto"/>
          <w:sz w:val="36"/>
          <w:szCs w:val="36"/>
          <w:highlight w:val="none"/>
          <w:lang w:val="en-US" w:eastAsia="zh-CN"/>
        </w:rPr>
        <w:t>40</w:t>
      </w:r>
    </w:p>
    <w:p w14:paraId="6B331E8D">
      <w:pPr>
        <w:pStyle w:val="7"/>
        <w:spacing w:beforeAutospacing="0" w:afterAutospacing="0"/>
        <w:jc w:val="both"/>
        <w:rPr>
          <w:color w:val="auto"/>
          <w:highlight w:val="none"/>
        </w:rPr>
      </w:pPr>
      <w:r>
        <w:rPr>
          <w:color w:val="auto"/>
          <w:highlight w:val="none"/>
        </w:rPr>
        <w:t> </w:t>
      </w:r>
    </w:p>
    <w:p w14:paraId="5C667DF9">
      <w:pPr>
        <w:pStyle w:val="7"/>
        <w:spacing w:beforeAutospacing="0" w:afterAutospacing="0"/>
        <w:jc w:val="both"/>
        <w:rPr>
          <w:color w:val="auto"/>
          <w:highlight w:val="none"/>
        </w:rPr>
      </w:pPr>
      <w:r>
        <w:rPr>
          <w:color w:val="auto"/>
          <w:highlight w:val="none"/>
        </w:rPr>
        <w:t> </w:t>
      </w:r>
    </w:p>
    <w:p w14:paraId="078002BA">
      <w:pPr>
        <w:pStyle w:val="7"/>
        <w:spacing w:beforeAutospacing="0" w:afterAutospacing="0"/>
        <w:jc w:val="both"/>
        <w:rPr>
          <w:color w:val="auto"/>
          <w:highlight w:val="none"/>
        </w:rPr>
      </w:pPr>
      <w:r>
        <w:rPr>
          <w:color w:val="auto"/>
          <w:highlight w:val="none"/>
        </w:rPr>
        <w:t> </w:t>
      </w:r>
    </w:p>
    <w:p w14:paraId="462580D6">
      <w:pPr>
        <w:pStyle w:val="7"/>
        <w:spacing w:beforeAutospacing="0" w:afterAutospacing="0"/>
        <w:jc w:val="both"/>
        <w:rPr>
          <w:color w:val="auto"/>
          <w:highlight w:val="none"/>
        </w:rPr>
      </w:pPr>
      <w:r>
        <w:rPr>
          <w:color w:val="auto"/>
          <w:highlight w:val="none"/>
        </w:rPr>
        <w:t> </w:t>
      </w:r>
    </w:p>
    <w:p w14:paraId="30C8BE88">
      <w:pPr>
        <w:pStyle w:val="7"/>
        <w:spacing w:beforeAutospacing="0" w:afterAutospacing="0"/>
        <w:jc w:val="both"/>
        <w:rPr>
          <w:color w:val="auto"/>
          <w:highlight w:val="none"/>
        </w:rPr>
      </w:pPr>
      <w:r>
        <w:rPr>
          <w:color w:val="auto"/>
          <w:highlight w:val="none"/>
        </w:rPr>
        <w:t> </w:t>
      </w:r>
    </w:p>
    <w:p w14:paraId="54F0D702">
      <w:pPr>
        <w:pStyle w:val="7"/>
        <w:spacing w:beforeAutospacing="0" w:afterAutospacing="0"/>
        <w:jc w:val="both"/>
        <w:rPr>
          <w:color w:val="auto"/>
          <w:highlight w:val="none"/>
        </w:rPr>
      </w:pPr>
      <w:r>
        <w:rPr>
          <w:color w:val="auto"/>
          <w:highlight w:val="none"/>
        </w:rPr>
        <w:t> </w:t>
      </w:r>
    </w:p>
    <w:p w14:paraId="3392581D">
      <w:pPr>
        <w:pStyle w:val="7"/>
        <w:spacing w:beforeAutospacing="0" w:afterAutospacing="0"/>
        <w:jc w:val="both"/>
        <w:rPr>
          <w:color w:val="auto"/>
          <w:highlight w:val="none"/>
        </w:rPr>
      </w:pPr>
      <w:r>
        <w:rPr>
          <w:color w:val="auto"/>
          <w:highlight w:val="none"/>
        </w:rPr>
        <w:t> </w:t>
      </w:r>
    </w:p>
    <w:p w14:paraId="3409779E">
      <w:pPr>
        <w:pStyle w:val="7"/>
        <w:spacing w:beforeAutospacing="0" w:afterAutospacing="0"/>
        <w:jc w:val="both"/>
        <w:rPr>
          <w:color w:val="auto"/>
          <w:highlight w:val="none"/>
        </w:rPr>
      </w:pPr>
      <w:r>
        <w:rPr>
          <w:color w:val="auto"/>
          <w:highlight w:val="none"/>
        </w:rPr>
        <w:t> </w:t>
      </w:r>
    </w:p>
    <w:p w14:paraId="5218B056">
      <w:pPr>
        <w:pStyle w:val="7"/>
        <w:spacing w:beforeAutospacing="0" w:afterAutospacing="0"/>
        <w:jc w:val="both"/>
        <w:rPr>
          <w:color w:val="auto"/>
          <w:highlight w:val="none"/>
        </w:rPr>
      </w:pPr>
      <w:r>
        <w:rPr>
          <w:color w:val="auto"/>
          <w:highlight w:val="none"/>
        </w:rPr>
        <w:t> </w:t>
      </w:r>
    </w:p>
    <w:p w14:paraId="589D94D4">
      <w:pPr>
        <w:pStyle w:val="7"/>
        <w:spacing w:beforeAutospacing="0" w:afterAutospacing="0"/>
        <w:jc w:val="both"/>
        <w:rPr>
          <w:color w:val="auto"/>
          <w:highlight w:val="none"/>
        </w:rPr>
      </w:pPr>
      <w:r>
        <w:rPr>
          <w:color w:val="auto"/>
          <w:highlight w:val="none"/>
        </w:rPr>
        <w:t> </w:t>
      </w:r>
    </w:p>
    <w:p w14:paraId="76CDA49A">
      <w:pPr>
        <w:pStyle w:val="7"/>
        <w:spacing w:beforeAutospacing="0" w:afterAutospacing="0"/>
        <w:jc w:val="both"/>
        <w:rPr>
          <w:color w:val="auto"/>
          <w:highlight w:val="none"/>
        </w:rPr>
      </w:pPr>
      <w:r>
        <w:rPr>
          <w:color w:val="auto"/>
          <w:highlight w:val="none"/>
        </w:rPr>
        <w:t> </w:t>
      </w:r>
    </w:p>
    <w:p w14:paraId="397AC49B">
      <w:pPr>
        <w:pStyle w:val="7"/>
        <w:spacing w:beforeAutospacing="0" w:afterAutospacing="0"/>
        <w:jc w:val="both"/>
        <w:rPr>
          <w:color w:val="auto"/>
          <w:highlight w:val="none"/>
        </w:rPr>
      </w:pPr>
      <w:r>
        <w:rPr>
          <w:color w:val="auto"/>
          <w:highlight w:val="none"/>
        </w:rPr>
        <w:t> </w:t>
      </w:r>
    </w:p>
    <w:p w14:paraId="6FE9E962">
      <w:pPr>
        <w:pStyle w:val="7"/>
        <w:spacing w:beforeAutospacing="0" w:afterAutospacing="0"/>
        <w:jc w:val="both"/>
        <w:rPr>
          <w:color w:val="auto"/>
          <w:highlight w:val="none"/>
        </w:rPr>
      </w:pPr>
      <w:r>
        <w:rPr>
          <w:color w:val="auto"/>
          <w:highlight w:val="none"/>
        </w:rPr>
        <w:t> </w:t>
      </w:r>
    </w:p>
    <w:p w14:paraId="2C800244">
      <w:pPr>
        <w:pStyle w:val="7"/>
        <w:spacing w:beforeAutospacing="0" w:afterAutospacing="0"/>
        <w:jc w:val="both"/>
        <w:rPr>
          <w:color w:val="auto"/>
          <w:highlight w:val="none"/>
        </w:rPr>
      </w:pPr>
      <w:r>
        <w:rPr>
          <w:color w:val="auto"/>
          <w:highlight w:val="none"/>
        </w:rPr>
        <w:t> </w:t>
      </w:r>
    </w:p>
    <w:p w14:paraId="2F5A6150">
      <w:pPr>
        <w:pStyle w:val="7"/>
        <w:spacing w:beforeAutospacing="0" w:afterAutospacing="0"/>
        <w:jc w:val="both"/>
        <w:rPr>
          <w:color w:val="auto"/>
          <w:highlight w:val="none"/>
        </w:rPr>
      </w:pPr>
      <w:r>
        <w:rPr>
          <w:color w:val="auto"/>
          <w:highlight w:val="none"/>
        </w:rPr>
        <w:t> </w:t>
      </w:r>
    </w:p>
    <w:p w14:paraId="41CFA5E3">
      <w:pPr>
        <w:pStyle w:val="7"/>
        <w:spacing w:beforeAutospacing="0" w:afterAutospacing="0"/>
        <w:jc w:val="both"/>
        <w:rPr>
          <w:color w:val="auto"/>
          <w:highlight w:val="none"/>
        </w:rPr>
      </w:pPr>
      <w:r>
        <w:rPr>
          <w:color w:val="auto"/>
          <w:highlight w:val="none"/>
        </w:rPr>
        <w:t> </w:t>
      </w:r>
    </w:p>
    <w:p w14:paraId="1D019980">
      <w:pPr>
        <w:pStyle w:val="7"/>
        <w:spacing w:beforeAutospacing="0" w:afterAutospacing="0"/>
        <w:jc w:val="both"/>
        <w:rPr>
          <w:color w:val="auto"/>
          <w:highlight w:val="none"/>
        </w:rPr>
      </w:pPr>
      <w:r>
        <w:rPr>
          <w:color w:val="auto"/>
          <w:highlight w:val="none"/>
        </w:rPr>
        <w:t> </w:t>
      </w:r>
    </w:p>
    <w:p w14:paraId="6BAA4ACC">
      <w:pPr>
        <w:pStyle w:val="7"/>
        <w:spacing w:beforeAutospacing="0" w:afterAutospacing="0"/>
        <w:jc w:val="both"/>
        <w:rPr>
          <w:color w:val="auto"/>
          <w:highlight w:val="none"/>
        </w:rPr>
      </w:pPr>
      <w:r>
        <w:rPr>
          <w:color w:val="auto"/>
          <w:highlight w:val="none"/>
        </w:rPr>
        <w:t> </w:t>
      </w:r>
    </w:p>
    <w:p w14:paraId="512EC641">
      <w:pPr>
        <w:pStyle w:val="7"/>
        <w:spacing w:beforeAutospacing="0" w:afterAutospacing="0"/>
        <w:jc w:val="both"/>
        <w:rPr>
          <w:color w:val="auto"/>
          <w:highlight w:val="none"/>
        </w:rPr>
      </w:pPr>
      <w:r>
        <w:rPr>
          <w:color w:val="auto"/>
          <w:highlight w:val="none"/>
        </w:rPr>
        <w:t> </w:t>
      </w:r>
    </w:p>
    <w:p w14:paraId="342582EE">
      <w:pPr>
        <w:pStyle w:val="7"/>
        <w:spacing w:beforeAutospacing="0" w:afterAutospacing="0"/>
        <w:jc w:val="both"/>
        <w:rPr>
          <w:color w:val="auto"/>
          <w:highlight w:val="none"/>
        </w:rPr>
      </w:pPr>
      <w:r>
        <w:rPr>
          <w:color w:val="auto"/>
          <w:highlight w:val="none"/>
        </w:rPr>
        <w:t> </w:t>
      </w:r>
    </w:p>
    <w:p w14:paraId="52BC9894">
      <w:pPr>
        <w:pStyle w:val="7"/>
        <w:spacing w:beforeAutospacing="0" w:afterAutospacing="0"/>
        <w:jc w:val="both"/>
        <w:rPr>
          <w:color w:val="auto"/>
          <w:highlight w:val="none"/>
        </w:rPr>
      </w:pPr>
      <w:r>
        <w:rPr>
          <w:color w:val="auto"/>
          <w:highlight w:val="none"/>
        </w:rPr>
        <w:t> </w:t>
      </w:r>
    </w:p>
    <w:p w14:paraId="78D366BB">
      <w:pPr>
        <w:pStyle w:val="7"/>
        <w:spacing w:beforeAutospacing="0" w:afterAutospacing="0"/>
        <w:jc w:val="both"/>
        <w:rPr>
          <w:color w:val="auto"/>
          <w:highlight w:val="none"/>
        </w:rPr>
      </w:pPr>
      <w:r>
        <w:rPr>
          <w:color w:val="auto"/>
          <w:highlight w:val="none"/>
        </w:rPr>
        <w:t> </w:t>
      </w:r>
    </w:p>
    <w:p w14:paraId="43AC69A9">
      <w:pPr>
        <w:pStyle w:val="7"/>
        <w:spacing w:beforeAutospacing="0" w:afterAutospacing="0"/>
        <w:jc w:val="both"/>
        <w:rPr>
          <w:color w:val="auto"/>
          <w:highlight w:val="none"/>
        </w:rPr>
      </w:pPr>
      <w:r>
        <w:rPr>
          <w:color w:val="auto"/>
          <w:highlight w:val="none"/>
        </w:rPr>
        <w:t> </w:t>
      </w:r>
    </w:p>
    <w:p w14:paraId="22CC3E19">
      <w:pPr>
        <w:pStyle w:val="7"/>
        <w:spacing w:beforeAutospacing="0" w:afterAutospacing="0"/>
        <w:jc w:val="both"/>
        <w:rPr>
          <w:color w:val="auto"/>
          <w:highlight w:val="none"/>
        </w:rPr>
      </w:pPr>
      <w:r>
        <w:rPr>
          <w:color w:val="auto"/>
          <w:highlight w:val="none"/>
        </w:rPr>
        <w:t> </w:t>
      </w:r>
    </w:p>
    <w:p w14:paraId="0751C29D">
      <w:pPr>
        <w:pStyle w:val="7"/>
        <w:spacing w:beforeAutospacing="0" w:afterAutospacing="0"/>
        <w:jc w:val="both"/>
        <w:rPr>
          <w:color w:val="auto"/>
          <w:highlight w:val="none"/>
        </w:rPr>
      </w:pPr>
      <w:r>
        <w:rPr>
          <w:color w:val="auto"/>
          <w:highlight w:val="none"/>
        </w:rPr>
        <w:t> </w:t>
      </w:r>
    </w:p>
    <w:p w14:paraId="29210C61">
      <w:pPr>
        <w:pStyle w:val="7"/>
        <w:spacing w:beforeAutospacing="0" w:afterAutospacing="0"/>
        <w:jc w:val="both"/>
        <w:rPr>
          <w:color w:val="auto"/>
          <w:highlight w:val="none"/>
        </w:rPr>
      </w:pPr>
      <w:r>
        <w:rPr>
          <w:color w:val="auto"/>
          <w:highlight w:val="none"/>
        </w:rPr>
        <w:t> </w:t>
      </w:r>
    </w:p>
    <w:p w14:paraId="404651D6">
      <w:pPr>
        <w:pStyle w:val="7"/>
        <w:spacing w:beforeAutospacing="0" w:afterAutospacing="0"/>
        <w:jc w:val="both"/>
        <w:rPr>
          <w:color w:val="auto"/>
          <w:highlight w:val="none"/>
        </w:rPr>
      </w:pPr>
      <w:r>
        <w:rPr>
          <w:color w:val="auto"/>
          <w:highlight w:val="none"/>
        </w:rPr>
        <w:t> </w:t>
      </w:r>
    </w:p>
    <w:p w14:paraId="1AE4DA48">
      <w:pPr>
        <w:pStyle w:val="7"/>
        <w:spacing w:beforeAutospacing="0" w:afterAutospacing="0"/>
        <w:jc w:val="both"/>
        <w:rPr>
          <w:color w:val="auto"/>
          <w:highlight w:val="none"/>
        </w:rPr>
      </w:pPr>
      <w:r>
        <w:rPr>
          <w:color w:val="auto"/>
          <w:highlight w:val="none"/>
        </w:rPr>
        <w:t> </w:t>
      </w:r>
    </w:p>
    <w:p w14:paraId="4F5870F5">
      <w:pPr>
        <w:pStyle w:val="7"/>
        <w:spacing w:beforeAutospacing="0" w:afterAutospacing="0"/>
        <w:jc w:val="center"/>
        <w:rPr>
          <w:rFonts w:hint="eastAsia" w:ascii="黑体" w:hAnsi="宋体" w:eastAsia="黑体" w:cs="黑体"/>
          <w:color w:val="auto"/>
          <w:sz w:val="44"/>
          <w:szCs w:val="44"/>
          <w:highlight w:val="none"/>
        </w:rPr>
        <w:sectPr>
          <w:footerReference r:id="rId3" w:type="default"/>
          <w:pgSz w:w="11906" w:h="16838"/>
          <w:pgMar w:top="1440" w:right="1800" w:bottom="1440" w:left="1800" w:header="851" w:footer="992" w:gutter="0"/>
          <w:cols w:space="425" w:num="1"/>
          <w:docGrid w:type="lines" w:linePitch="312" w:charSpace="0"/>
        </w:sectPr>
      </w:pPr>
    </w:p>
    <w:p w14:paraId="15DB2B46">
      <w:pPr>
        <w:pStyle w:val="7"/>
        <w:spacing w:beforeAutospacing="0" w:afterAutospacing="0"/>
        <w:jc w:val="center"/>
        <w:rPr>
          <w:rFonts w:hint="eastAsia" w:ascii="宋体" w:hAnsi="宋体" w:eastAsia="宋体" w:cs="宋体"/>
          <w:color w:val="auto"/>
          <w:sz w:val="21"/>
          <w:szCs w:val="21"/>
          <w:highlight w:val="none"/>
          <w:u w:val="single"/>
          <w:lang w:eastAsia="zh-CN"/>
        </w:rPr>
      </w:pPr>
      <w:r>
        <w:rPr>
          <w:rFonts w:hint="eastAsia" w:ascii="黑体" w:hAnsi="宋体" w:eastAsia="黑体" w:cs="黑体"/>
          <w:color w:val="auto"/>
          <w:sz w:val="44"/>
          <w:szCs w:val="44"/>
          <w:highlight w:val="none"/>
        </w:rPr>
        <w:t>第一章 </w:t>
      </w:r>
      <w:r>
        <w:rPr>
          <w:rFonts w:hint="eastAsia" w:ascii="黑体" w:hAnsi="宋体" w:eastAsia="黑体" w:cs="黑体"/>
          <w:color w:val="auto"/>
          <w:sz w:val="44"/>
          <w:szCs w:val="44"/>
          <w:highlight w:val="none"/>
          <w:lang w:val="en-US" w:eastAsia="zh-CN"/>
        </w:rPr>
        <w:t>招标公告</w:t>
      </w:r>
      <w:bookmarkStart w:id="6" w:name="_Toc35393621"/>
      <w:bookmarkStart w:id="7" w:name="_Toc38985263"/>
      <w:bookmarkStart w:id="8" w:name="_Hlk24379207"/>
      <w:bookmarkStart w:id="9" w:name="_Toc35393790"/>
      <w:bookmarkStart w:id="10" w:name="_Toc28359079"/>
      <w:bookmarkStart w:id="11" w:name="_Toc28359002"/>
    </w:p>
    <w:tbl>
      <w:tblPr>
        <w:tblStyle w:val="10"/>
        <w:tblpPr w:leftFromText="180" w:rightFromText="180" w:vertAnchor="text" w:tblpX="256" w:tblpY="22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84"/>
      </w:tblGrid>
      <w:tr w14:paraId="7F854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8084" w:type="dxa"/>
          </w:tcPr>
          <w:p w14:paraId="0706ED9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b w:val="0"/>
                <w:bCs w:val="0"/>
                <w:color w:val="auto"/>
                <w:sz w:val="21"/>
                <w:szCs w:val="21"/>
                <w:highlight w:val="none"/>
                <w:u w:val="single"/>
                <w:lang w:eastAsia="zh-CN"/>
              </w:rPr>
            </w:pPr>
            <w:r>
              <w:rPr>
                <w:rFonts w:hint="eastAsia" w:ascii="宋体" w:hAnsi="宋体" w:eastAsia="宋体" w:cs="宋体"/>
                <w:b w:val="0"/>
                <w:bCs w:val="0"/>
                <w:color w:val="auto"/>
                <w:sz w:val="21"/>
                <w:szCs w:val="21"/>
                <w:highlight w:val="none"/>
              </w:rPr>
              <w:t>项目概况</w:t>
            </w:r>
          </w:p>
          <w:p w14:paraId="7A7D323B">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b w:val="0"/>
                <w:bCs w:val="0"/>
                <w:color w:val="auto"/>
                <w:sz w:val="21"/>
                <w:szCs w:val="21"/>
                <w:highlight w:val="none"/>
                <w:u w:val="single"/>
                <w:lang w:eastAsia="zh-CN"/>
              </w:rPr>
              <w:t>盐城市公安局盐南高新技术产业开发区分局食堂外包服务项目</w:t>
            </w:r>
            <w:r>
              <w:rPr>
                <w:rFonts w:hint="eastAsia" w:ascii="宋体" w:hAnsi="宋体" w:eastAsia="宋体" w:cs="宋体"/>
                <w:b w:val="0"/>
                <w:bCs w:val="0"/>
                <w:color w:val="auto"/>
                <w:sz w:val="21"/>
                <w:szCs w:val="21"/>
                <w:highlight w:val="none"/>
              </w:rPr>
              <w:t>招标项目的潜在投标人可在</w:t>
            </w:r>
            <w:r>
              <w:rPr>
                <w:rFonts w:hint="eastAsia" w:ascii="宋体" w:hAnsi="宋体" w:eastAsia="宋体" w:cs="宋体"/>
                <w:b w:val="0"/>
                <w:bCs w:val="0"/>
                <w:i w:val="0"/>
                <w:iCs w:val="0"/>
                <w:caps w:val="0"/>
                <w:color w:val="auto"/>
                <w:spacing w:val="0"/>
                <w:sz w:val="21"/>
                <w:szCs w:val="21"/>
                <w:highlight w:val="none"/>
                <w:shd w:val="clear" w:fill="FFFFFF"/>
              </w:rPr>
              <w:t>“苏采云”系统内免费下载（投标人必须在苏采云系统中获取采购文件，方能参与政府采购项目）</w:t>
            </w:r>
            <w:r>
              <w:rPr>
                <w:rFonts w:hint="eastAsia" w:ascii="宋体" w:hAnsi="宋体" w:eastAsia="宋体" w:cs="宋体"/>
                <w:b w:val="0"/>
                <w:bCs w:val="0"/>
                <w:color w:val="auto"/>
                <w:sz w:val="21"/>
                <w:szCs w:val="21"/>
                <w:highlight w:val="none"/>
              </w:rPr>
              <w:t>，并于</w:t>
            </w:r>
            <w:r>
              <w:rPr>
                <w:rFonts w:hint="eastAsia" w:ascii="宋体" w:hAnsi="宋体" w:eastAsia="宋体" w:cs="宋体"/>
                <w:b w:val="0"/>
                <w:bCs w:val="0"/>
                <w:color w:val="auto"/>
                <w:sz w:val="21"/>
                <w:szCs w:val="21"/>
                <w:highlight w:val="none"/>
                <w:u w:val="single"/>
                <w:lang w:val="en-US" w:eastAsia="zh-CN"/>
              </w:rPr>
              <w:t>2026</w:t>
            </w:r>
            <w:r>
              <w:rPr>
                <w:rFonts w:hint="eastAsia" w:ascii="宋体" w:hAnsi="宋体" w:eastAsia="宋体" w:cs="宋体"/>
                <w:b w:val="0"/>
                <w:bCs w:val="0"/>
                <w:color w:val="auto"/>
                <w:sz w:val="21"/>
                <w:szCs w:val="21"/>
                <w:highlight w:val="none"/>
                <w:u w:val="single"/>
              </w:rPr>
              <w:t>年</w:t>
            </w:r>
            <w:r>
              <w:rPr>
                <w:rFonts w:hint="eastAsia" w:cs="宋体"/>
                <w:b w:val="0"/>
                <w:bCs w:val="0"/>
                <w:color w:val="auto"/>
                <w:sz w:val="21"/>
                <w:szCs w:val="21"/>
                <w:highlight w:val="none"/>
                <w:u w:val="single"/>
                <w:lang w:val="en-US" w:eastAsia="zh-CN"/>
              </w:rPr>
              <w:t>7</w:t>
            </w:r>
            <w:r>
              <w:rPr>
                <w:rFonts w:hint="eastAsia" w:ascii="宋体" w:hAnsi="宋体" w:eastAsia="宋体" w:cs="宋体"/>
                <w:b w:val="0"/>
                <w:bCs w:val="0"/>
                <w:color w:val="auto"/>
                <w:sz w:val="21"/>
                <w:szCs w:val="21"/>
                <w:highlight w:val="none"/>
                <w:u w:val="single"/>
              </w:rPr>
              <w:t>月</w:t>
            </w:r>
            <w:r>
              <w:rPr>
                <w:rFonts w:hint="eastAsia" w:cs="宋体"/>
                <w:b w:val="0"/>
                <w:bCs w:val="0"/>
                <w:color w:val="auto"/>
                <w:sz w:val="21"/>
                <w:szCs w:val="21"/>
                <w:highlight w:val="none"/>
                <w:u w:val="single"/>
                <w:lang w:val="en-US" w:eastAsia="zh-CN"/>
              </w:rPr>
              <w:t>7</w:t>
            </w:r>
            <w:r>
              <w:rPr>
                <w:rFonts w:hint="eastAsia" w:ascii="宋体" w:hAnsi="宋体" w:eastAsia="宋体" w:cs="宋体"/>
                <w:b w:val="0"/>
                <w:bCs w:val="0"/>
                <w:color w:val="auto"/>
                <w:sz w:val="21"/>
                <w:szCs w:val="21"/>
                <w:highlight w:val="none"/>
                <w:u w:val="single"/>
              </w:rPr>
              <w:t>日</w:t>
            </w:r>
            <w:r>
              <w:rPr>
                <w:rFonts w:hint="eastAsia" w:cs="宋体"/>
                <w:b w:val="0"/>
                <w:bCs w:val="0"/>
                <w:color w:val="auto"/>
                <w:sz w:val="21"/>
                <w:szCs w:val="21"/>
                <w:highlight w:val="none"/>
                <w:u w:val="single"/>
                <w:lang w:val="en-US" w:eastAsia="zh-CN"/>
              </w:rPr>
              <w:t>09</w:t>
            </w:r>
            <w:r>
              <w:rPr>
                <w:rFonts w:hint="eastAsia" w:ascii="宋体" w:hAnsi="宋体" w:eastAsia="宋体" w:cs="宋体"/>
                <w:b w:val="0"/>
                <w:bCs w:val="0"/>
                <w:color w:val="auto"/>
                <w:sz w:val="21"/>
                <w:szCs w:val="21"/>
                <w:highlight w:val="none"/>
                <w:u w:val="single"/>
              </w:rPr>
              <w:t>点</w:t>
            </w:r>
            <w:r>
              <w:rPr>
                <w:rFonts w:hint="eastAsia" w:ascii="宋体" w:hAnsi="宋体" w:eastAsia="宋体" w:cs="宋体"/>
                <w:b w:val="0"/>
                <w:bCs w:val="0"/>
                <w:color w:val="auto"/>
                <w:sz w:val="21"/>
                <w:szCs w:val="21"/>
                <w:highlight w:val="none"/>
                <w:u w:val="single"/>
                <w:lang w:val="en-US" w:eastAsia="zh-CN"/>
              </w:rPr>
              <w:t>00</w:t>
            </w:r>
            <w:r>
              <w:rPr>
                <w:rFonts w:hint="eastAsia" w:ascii="宋体" w:hAnsi="宋体" w:eastAsia="宋体" w:cs="宋体"/>
                <w:b w:val="0"/>
                <w:bCs w:val="0"/>
                <w:color w:val="auto"/>
                <w:sz w:val="21"/>
                <w:szCs w:val="21"/>
                <w:highlight w:val="none"/>
                <w:u w:val="single"/>
              </w:rPr>
              <w:t>分（</w:t>
            </w:r>
            <w:r>
              <w:rPr>
                <w:rFonts w:hint="eastAsia" w:ascii="宋体" w:hAnsi="宋体" w:eastAsia="宋体" w:cs="宋体"/>
                <w:b w:val="0"/>
                <w:bCs w:val="0"/>
                <w:color w:val="auto"/>
                <w:sz w:val="21"/>
                <w:szCs w:val="21"/>
                <w:highlight w:val="none"/>
              </w:rPr>
              <w:t>北京时间）前递交投标文件。</w:t>
            </w:r>
          </w:p>
        </w:tc>
      </w:tr>
    </w:tbl>
    <w:p w14:paraId="40F47FE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一、项目基本情况</w:t>
      </w:r>
      <w:bookmarkEnd w:id="6"/>
      <w:bookmarkEnd w:id="7"/>
      <w:bookmarkEnd w:id="8"/>
      <w:bookmarkEnd w:id="9"/>
      <w:bookmarkEnd w:id="10"/>
      <w:bookmarkEnd w:id="11"/>
    </w:p>
    <w:p w14:paraId="593BBE6F">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1.项目编号：</w:t>
      </w:r>
      <w:r>
        <w:rPr>
          <w:rFonts w:hint="eastAsia" w:ascii="宋体" w:hAnsi="宋体" w:eastAsia="宋体" w:cs="宋体"/>
          <w:color w:val="auto"/>
          <w:sz w:val="21"/>
          <w:szCs w:val="21"/>
          <w:highlight w:val="none"/>
          <w:lang w:eastAsia="zh-CN"/>
        </w:rPr>
        <w:t>JSZC-320992-YCZH-G2026-0009</w:t>
      </w:r>
    </w:p>
    <w:p w14:paraId="71B883C7">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2.项目名称：</w:t>
      </w:r>
      <w:r>
        <w:rPr>
          <w:rFonts w:hint="eastAsia" w:ascii="宋体" w:hAnsi="宋体" w:eastAsia="宋体" w:cs="宋体"/>
          <w:color w:val="auto"/>
          <w:sz w:val="21"/>
          <w:szCs w:val="21"/>
          <w:highlight w:val="none"/>
          <w:lang w:eastAsia="zh-CN"/>
        </w:rPr>
        <w:t>盐城市公安局盐南高新技术产业开发区分局食堂外包服务项目</w:t>
      </w:r>
    </w:p>
    <w:p w14:paraId="5DB66E41">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fill="FFFFFF"/>
          <w:lang w:val="en-US" w:eastAsia="zh-CN"/>
        </w:rPr>
        <w:t>3.</w:t>
      </w:r>
      <w:r>
        <w:rPr>
          <w:rFonts w:hint="eastAsia" w:ascii="宋体" w:hAnsi="宋体" w:eastAsia="宋体" w:cs="宋体"/>
          <w:i w:val="0"/>
          <w:iCs w:val="0"/>
          <w:caps w:val="0"/>
          <w:color w:val="auto"/>
          <w:spacing w:val="0"/>
          <w:sz w:val="21"/>
          <w:szCs w:val="21"/>
          <w:highlight w:val="none"/>
          <w:shd w:val="clear" w:fill="FFFFFF"/>
        </w:rPr>
        <w:t>采购方式：</w:t>
      </w:r>
      <w:r>
        <w:rPr>
          <w:rFonts w:hint="eastAsia" w:ascii="宋体" w:hAnsi="宋体" w:eastAsia="宋体" w:cs="宋体"/>
          <w:i w:val="0"/>
          <w:iCs w:val="0"/>
          <w:caps w:val="0"/>
          <w:color w:val="auto"/>
          <w:spacing w:val="0"/>
          <w:sz w:val="21"/>
          <w:szCs w:val="21"/>
          <w:highlight w:val="none"/>
          <w:shd w:val="clear" w:fill="FFFFFF"/>
          <w:lang w:val="en-US" w:eastAsia="zh-CN"/>
        </w:rPr>
        <w:t>公开招标</w:t>
      </w:r>
    </w:p>
    <w:p w14:paraId="2B74734E">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.预算金额：</w:t>
      </w:r>
      <w:r>
        <w:rPr>
          <w:rFonts w:hint="eastAsia" w:ascii="宋体" w:hAnsi="宋体" w:eastAsia="宋体" w:cs="宋体"/>
          <w:color w:val="auto"/>
          <w:sz w:val="21"/>
          <w:szCs w:val="21"/>
          <w:highlight w:val="none"/>
          <w:lang w:val="en-US" w:eastAsia="zh-CN"/>
        </w:rPr>
        <w:t>120万元</w:t>
      </w:r>
    </w:p>
    <w:p w14:paraId="214ED603">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最高限价：</w:t>
      </w:r>
      <w:r>
        <w:rPr>
          <w:rFonts w:hint="eastAsia" w:ascii="宋体" w:hAnsi="宋体" w:eastAsia="宋体" w:cs="宋体"/>
          <w:color w:val="auto"/>
          <w:sz w:val="21"/>
          <w:szCs w:val="21"/>
          <w:highlight w:val="none"/>
          <w:lang w:val="en-US" w:eastAsia="zh-CN"/>
        </w:rPr>
        <w:t>120万元</w:t>
      </w:r>
    </w:p>
    <w:p w14:paraId="026A47EB">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.采购需求：</w:t>
      </w:r>
      <w:r>
        <w:rPr>
          <w:rFonts w:hint="eastAsia" w:ascii="宋体" w:hAnsi="宋体" w:eastAsia="宋体" w:cs="宋体"/>
          <w:color w:val="auto"/>
          <w:sz w:val="21"/>
          <w:szCs w:val="21"/>
          <w:highlight w:val="none"/>
          <w:lang w:eastAsia="zh-CN"/>
        </w:rPr>
        <w:t>详见附件</w:t>
      </w:r>
    </w:p>
    <w:p w14:paraId="609A442C">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.合同履行期限：</w:t>
      </w:r>
      <w:r>
        <w:rPr>
          <w:rFonts w:hint="eastAsia" w:ascii="宋体" w:hAnsi="宋体" w:eastAsia="宋体" w:cs="宋体"/>
          <w:color w:val="auto"/>
          <w:sz w:val="21"/>
          <w:szCs w:val="21"/>
          <w:highlight w:val="none"/>
          <w:lang w:eastAsia="zh-CN"/>
        </w:rPr>
        <w:t>壹年（服务期满后，如满意率达80%以上，可续签</w:t>
      </w:r>
      <w:r>
        <w:rPr>
          <w:rFonts w:hint="eastAsia" w:ascii="宋体" w:hAnsi="宋体" w:eastAsia="宋体" w:cs="宋体"/>
          <w:color w:val="auto"/>
          <w:sz w:val="21"/>
          <w:szCs w:val="21"/>
          <w:highlight w:val="none"/>
          <w:lang w:val="en-US" w:eastAsia="zh-CN"/>
        </w:rPr>
        <w:t>一个服务期</w:t>
      </w:r>
      <w:r>
        <w:rPr>
          <w:rFonts w:hint="eastAsia" w:ascii="宋体" w:hAnsi="宋体" w:eastAsia="宋体" w:cs="宋体"/>
          <w:color w:val="auto"/>
          <w:sz w:val="21"/>
          <w:szCs w:val="21"/>
          <w:highlight w:val="none"/>
          <w:lang w:eastAsia="zh-CN"/>
        </w:rPr>
        <w:t>，最多续签二</w:t>
      </w:r>
      <w:r>
        <w:rPr>
          <w:rFonts w:hint="eastAsia" w:ascii="宋体" w:hAnsi="宋体" w:eastAsia="宋体" w:cs="宋体"/>
          <w:color w:val="auto"/>
          <w:sz w:val="21"/>
          <w:szCs w:val="21"/>
          <w:highlight w:val="none"/>
          <w:lang w:val="en-US" w:eastAsia="zh-CN"/>
        </w:rPr>
        <w:t>次</w:t>
      </w:r>
      <w:r>
        <w:rPr>
          <w:rFonts w:hint="eastAsia" w:ascii="宋体" w:hAnsi="宋体" w:eastAsia="宋体" w:cs="宋体"/>
          <w:color w:val="auto"/>
          <w:sz w:val="21"/>
          <w:szCs w:val="21"/>
          <w:highlight w:val="none"/>
          <w:lang w:eastAsia="zh-CN"/>
        </w:rPr>
        <w:t>）。</w:t>
      </w:r>
    </w:p>
    <w:p w14:paraId="4C641671">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本项目（是/否）接受联合体参与</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lang w:eastAsia="zh-CN"/>
        </w:rPr>
        <w:t>：否。</w:t>
      </w:r>
    </w:p>
    <w:p w14:paraId="2AA4012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2" w:firstLineChars="200"/>
        <w:jc w:val="both"/>
        <w:textAlignment w:val="auto"/>
        <w:rPr>
          <w:rFonts w:hint="eastAsia" w:ascii="宋体" w:hAnsi="宋体" w:eastAsia="宋体" w:cs="宋体"/>
          <w:color w:val="auto"/>
          <w:sz w:val="21"/>
          <w:szCs w:val="21"/>
          <w:highlight w:val="none"/>
        </w:rPr>
      </w:pPr>
      <w:bookmarkStart w:id="12" w:name="_Toc35393622"/>
      <w:bookmarkStart w:id="13" w:name="_Toc28359080"/>
      <w:bookmarkStart w:id="14" w:name="_Toc38985264"/>
      <w:bookmarkStart w:id="15" w:name="_Toc35393791"/>
      <w:bookmarkStart w:id="16" w:name="_Toc28359003"/>
      <w:r>
        <w:rPr>
          <w:rFonts w:hint="eastAsia" w:ascii="宋体" w:hAnsi="宋体" w:eastAsia="宋体" w:cs="宋体"/>
          <w:b/>
          <w:color w:val="auto"/>
          <w:sz w:val="21"/>
          <w:szCs w:val="21"/>
          <w:highlight w:val="none"/>
        </w:rPr>
        <w:t>二、申请人的资格要求：</w:t>
      </w:r>
      <w:bookmarkEnd w:id="12"/>
      <w:bookmarkEnd w:id="13"/>
      <w:bookmarkEnd w:id="14"/>
      <w:bookmarkEnd w:id="15"/>
      <w:bookmarkEnd w:id="16"/>
    </w:p>
    <w:p w14:paraId="01E7BDE6">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1.满足《中华人民共和国政府采购法》第二十二条规定，并提供下列材料：</w:t>
      </w:r>
    </w:p>
    <w:p w14:paraId="2DB6B250">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1.1法人或者其他组织的营业执照等证明文件，自然人的身份证明；</w:t>
      </w:r>
    </w:p>
    <w:p w14:paraId="483ED2F0">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1.2上一年度的财务状况报表（成立不满一年无需提供）；</w:t>
      </w:r>
    </w:p>
    <w:p w14:paraId="68284311">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具备履行合同所必需的设备和专业技术能力的书面声明；</w:t>
      </w:r>
    </w:p>
    <w:p w14:paraId="11660BD3">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161FABC7">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.5参加政府采购活动前3年内在经营活动中没有重大违法记录的书面声明。</w:t>
      </w:r>
    </w:p>
    <w:p w14:paraId="7738DA5E">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1.6法律、行政法规规定的其他条件。</w:t>
      </w:r>
    </w:p>
    <w:p w14:paraId="5A16CCA2">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1B74BD3">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1.8</w:t>
      </w:r>
      <w:r>
        <w:rPr>
          <w:rFonts w:hint="eastAsia" w:ascii="宋体" w:hAnsi="宋体" w:eastAsia="宋体" w:cs="宋体"/>
          <w:color w:val="auto"/>
          <w:sz w:val="21"/>
          <w:szCs w:val="21"/>
          <w:highlight w:val="none"/>
        </w:rPr>
        <w:t>单位负责人为同一人或者存在直接控股、管理关系的不同供应商，不得参加同一合同项下的政府采购活动。</w:t>
      </w:r>
      <w:r>
        <w:rPr>
          <w:rFonts w:hint="eastAsia" w:ascii="宋体" w:hAnsi="宋体" w:eastAsia="宋体" w:cs="宋体"/>
          <w:color w:val="auto"/>
          <w:sz w:val="21"/>
          <w:szCs w:val="21"/>
          <w:highlight w:val="none"/>
          <w:lang w:eastAsia="zh-CN"/>
        </w:rPr>
        <w:t>（自行提供，格式自拟）</w:t>
      </w:r>
    </w:p>
    <w:p w14:paraId="7389302B">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落实政府采购政策需满足的资格要求：本项目专门面向中小企业采购。采购标的的所属行业为</w:t>
      </w:r>
      <w:r>
        <w:rPr>
          <w:rFonts w:hint="eastAsia" w:ascii="宋体" w:hAnsi="宋体" w:eastAsia="宋体" w:cs="宋体"/>
          <w:color w:val="auto"/>
          <w:sz w:val="21"/>
          <w:szCs w:val="21"/>
          <w:highlight w:val="none"/>
          <w:lang w:eastAsia="zh-CN"/>
        </w:rPr>
        <w:t>餐饮业</w:t>
      </w:r>
      <w:r>
        <w:rPr>
          <w:rFonts w:hint="eastAsia" w:ascii="宋体" w:hAnsi="宋体" w:eastAsia="宋体" w:cs="宋体"/>
          <w:color w:val="auto"/>
          <w:sz w:val="21"/>
          <w:szCs w:val="21"/>
          <w:highlight w:val="none"/>
        </w:rPr>
        <w:t>，投标人需按照采购文件的要求提供相应的《中小企业声明函》。企业标准请参照《关于印发中小企业划型标准规定的通知》（工信部联企业[2011]300号）文件规定自行填写。</w:t>
      </w:r>
    </w:p>
    <w:p w14:paraId="7DD00011">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本项目的特定资格要求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投标人须具有有效期内的《食品经营许可证》。（投标时提供证书扫描件并加盖投标人公章）</w:t>
      </w:r>
      <w:r>
        <w:rPr>
          <w:rFonts w:hint="eastAsia" w:ascii="宋体" w:hAnsi="宋体" w:eastAsia="宋体" w:cs="宋体"/>
          <w:color w:val="auto"/>
          <w:sz w:val="21"/>
          <w:szCs w:val="21"/>
          <w:highlight w:val="none"/>
          <w:lang w:eastAsia="zh-CN"/>
        </w:rPr>
        <w:t>。</w:t>
      </w:r>
    </w:p>
    <w:p w14:paraId="5398AA0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三、获取招标文件</w:t>
      </w:r>
    </w:p>
    <w:p w14:paraId="66111AF7">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bookmarkStart w:id="17" w:name="_Toc28359082"/>
      <w:bookmarkStart w:id="18" w:name="_Toc38985266"/>
      <w:bookmarkStart w:id="19" w:name="_Toc35393624"/>
      <w:bookmarkStart w:id="20" w:name="_Toc35393793"/>
      <w:bookmarkStart w:id="21" w:name="_Toc28359005"/>
      <w:r>
        <w:rPr>
          <w:rFonts w:hint="eastAsia" w:ascii="宋体" w:hAnsi="宋体" w:eastAsia="宋体" w:cs="宋体"/>
          <w:color w:val="auto"/>
          <w:sz w:val="21"/>
          <w:szCs w:val="21"/>
          <w:highlight w:val="none"/>
        </w:rPr>
        <w:t>1.时间</w:t>
      </w:r>
      <w:r>
        <w:rPr>
          <w:rFonts w:hint="eastAsia" w:ascii="宋体" w:hAnsi="宋体" w:eastAsia="宋体" w:cs="宋体"/>
          <w:color w:val="auto"/>
          <w:kern w:val="0"/>
          <w:sz w:val="21"/>
          <w:szCs w:val="21"/>
          <w:highlight w:val="none"/>
          <w:lang w:val="en-US" w:eastAsia="zh-CN" w:bidi="ar-SA"/>
        </w:rPr>
        <w:t>：</w:t>
      </w:r>
      <w:bookmarkEnd w:id="17"/>
      <w:bookmarkEnd w:id="18"/>
      <w:bookmarkEnd w:id="19"/>
      <w:bookmarkEnd w:id="20"/>
      <w:bookmarkEnd w:id="21"/>
      <w:r>
        <w:rPr>
          <w:rFonts w:hint="eastAsia" w:ascii="宋体" w:hAnsi="宋体" w:eastAsia="宋体" w:cs="宋体"/>
          <w:color w:val="auto"/>
          <w:kern w:val="0"/>
          <w:sz w:val="21"/>
          <w:szCs w:val="21"/>
          <w:highlight w:val="none"/>
          <w:lang w:val="en-US" w:eastAsia="zh-CN" w:bidi="ar-SA"/>
        </w:rPr>
        <w:t>自招标文件公告发布之日起5个工作日。</w:t>
      </w:r>
    </w:p>
    <w:p w14:paraId="57B92EA7">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2.地点：“苏采云”系统内免费下载（投标人必须在苏采云系统中获取采购文件，方能参与政府采购项目）；</w:t>
      </w:r>
    </w:p>
    <w:p w14:paraId="31DC8E8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3.方式：本项目采用网上注册登记方式。 </w:t>
      </w:r>
    </w:p>
    <w:p w14:paraId="1D59A0D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4.售价：0元</w:t>
      </w:r>
    </w:p>
    <w:p w14:paraId="3F72295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四、提交投标文件截止时间、开标时间和地点</w:t>
      </w:r>
    </w:p>
    <w:p w14:paraId="31E66FE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1"/>
          <w:szCs w:val="21"/>
          <w:highlight w:val="none"/>
        </w:rPr>
        <w:t>1.</w:t>
      </w:r>
      <w:r>
        <w:rPr>
          <w:rFonts w:hint="eastAsia" w:ascii="宋体" w:hAnsi="宋体" w:eastAsia="宋体" w:cs="宋体"/>
          <w:color w:val="auto"/>
          <w:kern w:val="0"/>
          <w:sz w:val="21"/>
          <w:szCs w:val="21"/>
          <w:highlight w:val="none"/>
          <w:lang w:val="en-US" w:eastAsia="zh-CN" w:bidi="ar-SA"/>
        </w:rPr>
        <w:t>时间：2026年7月7日09:00（北京时间）</w:t>
      </w:r>
    </w:p>
    <w:p w14:paraId="5D7059B7">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2.地点：苏采云“不见面”开标大厅 。</w:t>
      </w:r>
    </w:p>
    <w:p w14:paraId="3082A69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2" w:firstLineChars="200"/>
        <w:jc w:val="both"/>
        <w:textAlignment w:val="auto"/>
        <w:rPr>
          <w:rFonts w:hint="eastAsia" w:ascii="宋体" w:hAnsi="宋体" w:eastAsia="宋体" w:cs="宋体"/>
          <w:color w:val="auto"/>
          <w:sz w:val="21"/>
          <w:szCs w:val="21"/>
          <w:highlight w:val="none"/>
        </w:rPr>
      </w:pPr>
      <w:bookmarkStart w:id="22" w:name="_Toc35393794"/>
      <w:bookmarkStart w:id="23" w:name="_Toc35393625"/>
      <w:bookmarkStart w:id="24" w:name="_Toc28359084"/>
      <w:bookmarkStart w:id="25" w:name="_Toc38985267"/>
      <w:bookmarkStart w:id="26" w:name="_Toc28359007"/>
      <w:r>
        <w:rPr>
          <w:rFonts w:hint="eastAsia" w:ascii="宋体" w:hAnsi="宋体" w:eastAsia="宋体" w:cs="宋体"/>
          <w:b/>
          <w:color w:val="auto"/>
          <w:sz w:val="21"/>
          <w:szCs w:val="21"/>
          <w:highlight w:val="none"/>
        </w:rPr>
        <w:t>五、公告期限</w:t>
      </w:r>
      <w:bookmarkEnd w:id="22"/>
      <w:bookmarkEnd w:id="23"/>
      <w:bookmarkEnd w:id="24"/>
      <w:bookmarkEnd w:id="25"/>
      <w:bookmarkEnd w:id="26"/>
    </w:p>
    <w:p w14:paraId="0AD6F60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auto"/>
        <w:rPr>
          <w:rFonts w:hint="eastAsia" w:ascii="宋体" w:hAnsi="宋体" w:eastAsia="宋体" w:cs="宋体"/>
          <w:i w:val="0"/>
          <w:iCs w:val="0"/>
          <w:caps w:val="0"/>
          <w:color w:val="auto"/>
          <w:spacing w:val="0"/>
          <w:sz w:val="21"/>
          <w:szCs w:val="21"/>
          <w:highlight w:val="none"/>
          <w:shd w:val="clear" w:fill="FFFFFF"/>
          <w:lang w:val="en-US" w:eastAsia="zh-CN"/>
        </w:rPr>
      </w:pPr>
      <w:bookmarkStart w:id="27" w:name="_Toc35393626"/>
      <w:bookmarkStart w:id="28" w:name="_Toc35393795"/>
      <w:bookmarkStart w:id="29" w:name="_Toc38985268"/>
      <w:r>
        <w:rPr>
          <w:rFonts w:hint="eastAsia" w:ascii="宋体" w:hAnsi="宋体" w:eastAsia="宋体" w:cs="宋体"/>
          <w:i w:val="0"/>
          <w:iCs w:val="0"/>
          <w:caps w:val="0"/>
          <w:color w:val="auto"/>
          <w:spacing w:val="0"/>
          <w:sz w:val="21"/>
          <w:szCs w:val="21"/>
          <w:highlight w:val="none"/>
          <w:shd w:val="clear" w:fill="FFFFFF"/>
          <w:lang w:val="en-US" w:eastAsia="zh-CN"/>
        </w:rPr>
        <w:t>自本公告发布之日起5个工作日。</w:t>
      </w:r>
      <w:bookmarkEnd w:id="27"/>
      <w:bookmarkEnd w:id="28"/>
      <w:bookmarkEnd w:id="29"/>
    </w:p>
    <w:p w14:paraId="51E5BD7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六、其他补充事宜</w:t>
      </w:r>
    </w:p>
    <w:p w14:paraId="3B5EB24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b w:val="0"/>
          <w:bCs w:val="0"/>
          <w:color w:val="auto"/>
          <w:sz w:val="21"/>
          <w:szCs w:val="21"/>
          <w:highlight w:val="none"/>
          <w:lang w:val="en-US" w:eastAsia="zh-CN"/>
        </w:rPr>
      </w:pPr>
      <w:bookmarkStart w:id="30" w:name="_Toc28359018"/>
      <w:r>
        <w:rPr>
          <w:rFonts w:hint="eastAsia" w:ascii="宋体" w:hAnsi="宋体" w:eastAsia="宋体" w:cs="宋体"/>
          <w:b w:val="0"/>
          <w:bCs w:val="0"/>
          <w:color w:val="auto"/>
          <w:sz w:val="21"/>
          <w:szCs w:val="21"/>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43466BF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0E19536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2.潜在供应商访问电子招标响应交易平台的网络地址和方法：</w:t>
      </w:r>
    </w:p>
    <w:p w14:paraId="105EC97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p>
    <w:p w14:paraId="6F95A00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2.2潜在投标人访问“苏采云”系统方法：江苏省政府采购网首页-“苏采云”链接。</w:t>
      </w:r>
    </w:p>
    <w:p w14:paraId="6D861F7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2.3采购文件（后缀名为“kedt”）、供应商操作手册及政府采购客户端工具可通过“苏采云”系统相应链接进行下载。</w:t>
      </w:r>
    </w:p>
    <w:p w14:paraId="03F0B85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2.4采购代理机构将数据电文形式的采购文件加载至“苏采云”系统，供潜在供应商下载或者查阅。</w:t>
      </w:r>
    </w:p>
    <w:p w14:paraId="4E6D1B2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2.5请潜在投标单位提前安装相应的控件（详见《“苏采云”系统供应商操作手册》）并使用谷歌浏览器登录“苏采云”系统参与不见面开评标。</w:t>
      </w:r>
    </w:p>
    <w:p w14:paraId="20DB955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如潜在投标人未按上述要求操作，将自行承担所产生的风险。</w:t>
      </w:r>
    </w:p>
    <w:p w14:paraId="37B2540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3.有关本次招标的事项若存在变动或修改，敬请及时关注在“中国政府采购网”“江苏政府采购网”“盐城市政府采购网”发布的更正公告。</w:t>
      </w:r>
    </w:p>
    <w:p w14:paraId="5CD4551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微软雅黑" w:hAnsi="微软雅黑" w:eastAsia="微软雅黑" w:cs="微软雅黑"/>
          <w:b w:val="0"/>
          <w:bCs w:val="0"/>
          <w:i w:val="0"/>
          <w:iCs w:val="0"/>
          <w:caps w:val="0"/>
          <w:color w:val="auto"/>
          <w:spacing w:val="0"/>
          <w:sz w:val="21"/>
          <w:szCs w:val="21"/>
        </w:rPr>
      </w:pPr>
      <w:r>
        <w:rPr>
          <w:rFonts w:hint="eastAsia" w:ascii="宋体" w:hAnsi="宋体" w:eastAsia="宋体" w:cs="宋体"/>
          <w:b w:val="0"/>
          <w:bCs w:val="0"/>
          <w:color w:val="auto"/>
          <w:sz w:val="21"/>
          <w:szCs w:val="21"/>
          <w:highlight w:val="none"/>
          <w:lang w:val="en-US" w:eastAsia="zh-CN"/>
        </w:rPr>
        <w:t>4.本次招标不收取投标保证金，不收取质量保证金。</w:t>
      </w:r>
    </w:p>
    <w:p w14:paraId="1CCD385E">
      <w:pPr>
        <w:widowControl/>
        <w:spacing w:line="560" w:lineRule="exact"/>
        <w:ind w:firstLine="480"/>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5.监督举报电话信息</w:t>
      </w:r>
    </w:p>
    <w:p w14:paraId="61DE1AE2">
      <w:pPr>
        <w:widowControl/>
        <w:spacing w:line="560" w:lineRule="exact"/>
        <w:ind w:firstLine="480"/>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联系人：盐南高新区纪检监察工委信访室</w:t>
      </w:r>
    </w:p>
    <w:p w14:paraId="4C57CDF2">
      <w:pPr>
        <w:widowControl/>
        <w:spacing w:line="560" w:lineRule="exact"/>
        <w:ind w:firstLine="480"/>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联系方式：0515-66661555</w:t>
      </w:r>
    </w:p>
    <w:p w14:paraId="72B9FC08">
      <w:pPr>
        <w:widowControl/>
        <w:spacing w:line="560" w:lineRule="exact"/>
        <w:ind w:firstLine="480"/>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6.政府采购投诉电话信息</w:t>
      </w:r>
    </w:p>
    <w:p w14:paraId="50F169C0">
      <w:pPr>
        <w:widowControl/>
        <w:spacing w:line="560" w:lineRule="exact"/>
        <w:ind w:firstLine="480"/>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联系人：盐南高新区财政金融局政府采购科</w:t>
      </w:r>
    </w:p>
    <w:p w14:paraId="46ADE268">
      <w:pPr>
        <w:widowControl/>
        <w:spacing w:line="560" w:lineRule="exact"/>
        <w:ind w:firstLine="480"/>
        <w:jc w:val="left"/>
        <w:rPr>
          <w:rFonts w:hint="eastAsia" w:ascii="宋体" w:hAnsi="宋体" w:eastAsia="宋体" w:cs="宋体"/>
          <w:color w:val="auto"/>
          <w:sz w:val="21"/>
          <w:szCs w:val="21"/>
          <w:shd w:val="clear" w:color="auto" w:fill="FFFFFF"/>
          <w:lang w:val="en-US" w:eastAsia="zh-CN"/>
        </w:rPr>
      </w:pPr>
      <w:r>
        <w:rPr>
          <w:rFonts w:hint="eastAsia" w:ascii="宋体" w:hAnsi="宋体" w:eastAsia="宋体" w:cs="宋体"/>
          <w:color w:val="auto"/>
          <w:sz w:val="21"/>
          <w:szCs w:val="21"/>
          <w:shd w:val="clear" w:color="auto" w:fill="FFFFFF"/>
        </w:rPr>
        <w:t>联系方式：0515-69938599</w:t>
      </w:r>
      <w:r>
        <w:rPr>
          <w:rFonts w:hint="eastAsia" w:ascii="宋体" w:hAnsi="宋体" w:eastAsia="宋体" w:cs="宋体"/>
          <w:color w:val="auto"/>
          <w:sz w:val="21"/>
          <w:szCs w:val="21"/>
          <w:shd w:val="clear" w:color="auto" w:fill="FFFFFF"/>
          <w:lang w:val="en-US" w:eastAsia="zh-CN"/>
        </w:rPr>
        <w:t xml:space="preserve"> </w:t>
      </w:r>
    </w:p>
    <w:p w14:paraId="734843F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2" w:firstLineChars="200"/>
        <w:jc w:val="both"/>
        <w:textAlignment w:val="auto"/>
        <w:rPr>
          <w:rFonts w:hint="eastAsia" w:ascii="宋体" w:hAnsi="宋体" w:eastAsia="宋体" w:cs="宋体"/>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sz w:val="21"/>
          <w:szCs w:val="21"/>
          <w:highlight w:val="none"/>
          <w:u w:val="none"/>
          <w:shd w:val="clear" w:fill="FFFFFF"/>
          <w:lang w:val="en-US" w:eastAsia="zh-CN"/>
        </w:rPr>
        <w:t>七</w:t>
      </w:r>
      <w:r>
        <w:rPr>
          <w:rFonts w:hint="eastAsia" w:ascii="宋体" w:hAnsi="宋体" w:eastAsia="宋体" w:cs="宋体"/>
          <w:b/>
          <w:bCs/>
          <w:i w:val="0"/>
          <w:iCs w:val="0"/>
          <w:caps w:val="0"/>
          <w:color w:val="auto"/>
          <w:spacing w:val="0"/>
          <w:sz w:val="21"/>
          <w:szCs w:val="21"/>
          <w:highlight w:val="none"/>
          <w:u w:val="none"/>
          <w:shd w:val="clear" w:fill="FFFFFF"/>
        </w:rPr>
        <w:t>、对本次</w:t>
      </w:r>
      <w:r>
        <w:rPr>
          <w:rFonts w:hint="eastAsia" w:ascii="宋体" w:hAnsi="宋体" w:eastAsia="宋体" w:cs="宋体"/>
          <w:b/>
          <w:bCs/>
          <w:i w:val="0"/>
          <w:iCs w:val="0"/>
          <w:caps w:val="0"/>
          <w:color w:val="auto"/>
          <w:spacing w:val="0"/>
          <w:sz w:val="21"/>
          <w:szCs w:val="21"/>
          <w:highlight w:val="none"/>
          <w:u w:val="none"/>
          <w:shd w:val="clear" w:fill="FFFFFF"/>
          <w:lang w:val="en-US" w:eastAsia="zh-CN"/>
        </w:rPr>
        <w:t>招标</w:t>
      </w:r>
      <w:r>
        <w:rPr>
          <w:rFonts w:hint="eastAsia" w:ascii="宋体" w:hAnsi="宋体" w:eastAsia="宋体" w:cs="宋体"/>
          <w:b/>
          <w:bCs/>
          <w:i w:val="0"/>
          <w:iCs w:val="0"/>
          <w:caps w:val="0"/>
          <w:color w:val="auto"/>
          <w:spacing w:val="0"/>
          <w:sz w:val="21"/>
          <w:szCs w:val="21"/>
          <w:highlight w:val="none"/>
          <w:u w:val="none"/>
          <w:shd w:val="clear" w:fill="FFFFFF"/>
        </w:rPr>
        <w:t>提出询问，请按以下方式联系。</w:t>
      </w:r>
      <w:bookmarkEnd w:id="30"/>
    </w:p>
    <w:p w14:paraId="0483F75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2" w:firstLineChars="200"/>
        <w:jc w:val="both"/>
        <w:textAlignment w:val="auto"/>
        <w:rPr>
          <w:rFonts w:hint="eastAsia" w:ascii="宋体" w:hAnsi="宋体" w:eastAsia="宋体" w:cs="宋体"/>
          <w:i w:val="0"/>
          <w:iCs w:val="0"/>
          <w:caps w:val="0"/>
          <w:color w:val="auto"/>
          <w:spacing w:val="0"/>
          <w:sz w:val="21"/>
          <w:szCs w:val="21"/>
          <w:highlight w:val="none"/>
          <w:shd w:val="clear" w:fill="FFFFFF"/>
          <w:lang w:val="en-US" w:eastAsia="zh-CN"/>
        </w:rPr>
      </w:pPr>
      <w:bookmarkStart w:id="31" w:name="_Toc28359009"/>
      <w:r>
        <w:rPr>
          <w:rFonts w:hint="eastAsia" w:ascii="宋体" w:hAnsi="宋体" w:eastAsia="宋体" w:cs="宋体"/>
          <w:i w:val="0"/>
          <w:iCs w:val="0"/>
          <w:caps w:val="0"/>
          <w:color w:val="auto"/>
          <w:spacing w:val="0"/>
          <w:sz w:val="21"/>
          <w:szCs w:val="21"/>
          <w:highlight w:val="none"/>
          <w:shd w:val="clear" w:fill="FFFFFF"/>
          <w:lang w:val="en-US" w:eastAsia="zh-CN"/>
        </w:rPr>
        <w:t>1.采购人信息</w:t>
      </w:r>
    </w:p>
    <w:p w14:paraId="19059E5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b w:val="0"/>
          <w:bCs w:val="0"/>
          <w:i w:val="0"/>
          <w:iCs w:val="0"/>
          <w:caps w:val="0"/>
          <w:color w:val="auto"/>
          <w:spacing w:val="0"/>
          <w:sz w:val="21"/>
          <w:szCs w:val="21"/>
          <w:highlight w:val="none"/>
          <w:shd w:val="clear" w:fill="FFFFFF"/>
          <w:lang w:val="en-US" w:eastAsia="zh-CN"/>
        </w:rPr>
      </w:pPr>
      <w:r>
        <w:rPr>
          <w:rFonts w:hint="eastAsia" w:ascii="宋体" w:hAnsi="宋体" w:eastAsia="宋体" w:cs="宋体"/>
          <w:b w:val="0"/>
          <w:bCs w:val="0"/>
          <w:i w:val="0"/>
          <w:iCs w:val="0"/>
          <w:caps w:val="0"/>
          <w:color w:val="auto"/>
          <w:spacing w:val="0"/>
          <w:sz w:val="21"/>
          <w:szCs w:val="21"/>
          <w:highlight w:val="none"/>
          <w:shd w:val="clear" w:fill="FFFFFF"/>
          <w:lang w:val="en-US" w:eastAsia="zh-CN"/>
        </w:rPr>
        <w:t>名称：盐城市公安局盐南高新技术产业开发区分局</w:t>
      </w:r>
    </w:p>
    <w:p w14:paraId="108867E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default" w:ascii="宋体" w:hAnsi="宋体" w:eastAsia="宋体" w:cs="宋体"/>
          <w:b w:val="0"/>
          <w:bCs w:val="0"/>
          <w:i w:val="0"/>
          <w:iCs w:val="0"/>
          <w:caps w:val="0"/>
          <w:color w:val="auto"/>
          <w:spacing w:val="0"/>
          <w:sz w:val="21"/>
          <w:szCs w:val="21"/>
          <w:highlight w:val="none"/>
          <w:shd w:val="clear" w:fill="FFFFFF"/>
          <w:lang w:val="en-US" w:eastAsia="zh-CN"/>
        </w:rPr>
      </w:pPr>
      <w:r>
        <w:rPr>
          <w:rFonts w:hint="eastAsia" w:ascii="宋体" w:hAnsi="宋体" w:eastAsia="宋体" w:cs="宋体"/>
          <w:b w:val="0"/>
          <w:bCs w:val="0"/>
          <w:i w:val="0"/>
          <w:iCs w:val="0"/>
          <w:caps w:val="0"/>
          <w:color w:val="auto"/>
          <w:spacing w:val="0"/>
          <w:sz w:val="21"/>
          <w:szCs w:val="21"/>
          <w:highlight w:val="none"/>
          <w:shd w:val="clear" w:fill="FFFFFF"/>
          <w:lang w:val="en-US" w:eastAsia="zh-CN"/>
        </w:rPr>
        <w:t>地址：盐城市人民南路新龙广场8号楼</w:t>
      </w:r>
    </w:p>
    <w:p w14:paraId="454B49C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b w:val="0"/>
          <w:bCs w:val="0"/>
          <w:i w:val="0"/>
          <w:iCs w:val="0"/>
          <w:caps w:val="0"/>
          <w:color w:val="auto"/>
          <w:spacing w:val="0"/>
          <w:sz w:val="21"/>
          <w:szCs w:val="21"/>
          <w:highlight w:val="none"/>
          <w:shd w:val="clear" w:fill="FFFFFF"/>
          <w:lang w:val="en-US" w:eastAsia="zh-CN"/>
        </w:rPr>
      </w:pPr>
      <w:r>
        <w:rPr>
          <w:rFonts w:hint="eastAsia" w:ascii="宋体" w:hAnsi="宋体" w:eastAsia="宋体" w:cs="宋体"/>
          <w:b w:val="0"/>
          <w:bCs w:val="0"/>
          <w:i w:val="0"/>
          <w:iCs w:val="0"/>
          <w:caps w:val="0"/>
          <w:color w:val="auto"/>
          <w:spacing w:val="0"/>
          <w:sz w:val="21"/>
          <w:szCs w:val="21"/>
          <w:highlight w:val="none"/>
          <w:shd w:val="clear" w:fill="FFFFFF"/>
          <w:lang w:val="en-US" w:eastAsia="zh-CN"/>
        </w:rPr>
        <w:t>联系人：谢警官</w:t>
      </w:r>
    </w:p>
    <w:p w14:paraId="5FCD0DB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default" w:ascii="宋体" w:hAnsi="宋体" w:eastAsia="宋体" w:cs="宋体"/>
          <w:i w:val="0"/>
          <w:iCs w:val="0"/>
          <w:caps w:val="0"/>
          <w:color w:val="auto"/>
          <w:spacing w:val="0"/>
          <w:sz w:val="21"/>
          <w:szCs w:val="21"/>
          <w:highlight w:val="yellow"/>
          <w:shd w:val="clear" w:fill="FFFFFF"/>
          <w:lang w:val="en-US" w:eastAsia="zh-CN"/>
        </w:rPr>
      </w:pPr>
      <w:r>
        <w:rPr>
          <w:rFonts w:hint="eastAsia" w:ascii="宋体" w:hAnsi="宋体" w:eastAsia="宋体" w:cs="宋体"/>
          <w:b w:val="0"/>
          <w:bCs w:val="0"/>
          <w:i w:val="0"/>
          <w:iCs w:val="0"/>
          <w:caps w:val="0"/>
          <w:color w:val="auto"/>
          <w:spacing w:val="0"/>
          <w:sz w:val="21"/>
          <w:szCs w:val="21"/>
          <w:highlight w:val="none"/>
          <w:shd w:val="clear" w:fill="FFFFFF"/>
          <w:lang w:val="en-US" w:eastAsia="zh-CN"/>
        </w:rPr>
        <w:t>联系方式：0515-69000102</w:t>
      </w:r>
    </w:p>
    <w:p w14:paraId="750060B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2" w:firstLineChars="200"/>
        <w:jc w:val="both"/>
        <w:textAlignment w:val="auto"/>
        <w:rPr>
          <w:rFonts w:hint="eastAsia" w:ascii="宋体" w:hAnsi="宋体" w:eastAsia="宋体" w:cs="宋体"/>
          <w:i w:val="0"/>
          <w:iCs w:val="0"/>
          <w:caps w:val="0"/>
          <w:color w:val="auto"/>
          <w:spacing w:val="0"/>
          <w:sz w:val="21"/>
          <w:szCs w:val="21"/>
          <w:highlight w:val="none"/>
          <w:shd w:val="clear" w:fill="FFFFFF"/>
          <w:lang w:val="en-US" w:eastAsia="zh-CN"/>
        </w:rPr>
      </w:pPr>
      <w:r>
        <w:rPr>
          <w:rFonts w:hint="eastAsia" w:ascii="宋体" w:hAnsi="宋体" w:eastAsia="宋体" w:cs="宋体"/>
          <w:i w:val="0"/>
          <w:iCs w:val="0"/>
          <w:caps w:val="0"/>
          <w:color w:val="auto"/>
          <w:spacing w:val="0"/>
          <w:sz w:val="21"/>
          <w:szCs w:val="21"/>
          <w:highlight w:val="none"/>
          <w:shd w:val="clear" w:fill="FFFFFF"/>
          <w:lang w:val="en-US" w:eastAsia="zh-CN"/>
        </w:rPr>
        <w:t>2.采购代理机构信息</w:t>
      </w:r>
    </w:p>
    <w:p w14:paraId="6845C77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b w:val="0"/>
          <w:bCs w:val="0"/>
          <w:i w:val="0"/>
          <w:iCs w:val="0"/>
          <w:caps w:val="0"/>
          <w:color w:val="auto"/>
          <w:spacing w:val="0"/>
          <w:sz w:val="21"/>
          <w:szCs w:val="21"/>
          <w:highlight w:val="none"/>
          <w:shd w:val="clear" w:fill="FFFFFF"/>
          <w:lang w:val="en-US" w:eastAsia="zh-CN"/>
        </w:rPr>
      </w:pPr>
      <w:r>
        <w:rPr>
          <w:rFonts w:hint="eastAsia" w:ascii="宋体" w:hAnsi="宋体" w:eastAsia="宋体" w:cs="宋体"/>
          <w:b w:val="0"/>
          <w:bCs w:val="0"/>
          <w:i w:val="0"/>
          <w:iCs w:val="0"/>
          <w:caps w:val="0"/>
          <w:color w:val="auto"/>
          <w:spacing w:val="0"/>
          <w:sz w:val="21"/>
          <w:szCs w:val="21"/>
          <w:highlight w:val="none"/>
          <w:shd w:val="clear" w:fill="FFFFFF"/>
          <w:lang w:val="en-US" w:eastAsia="zh-CN"/>
        </w:rPr>
        <w:t>名称：盐城市智禾项目管理有限公司</w:t>
      </w:r>
    </w:p>
    <w:p w14:paraId="303E2BF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b w:val="0"/>
          <w:bCs w:val="0"/>
          <w:i w:val="0"/>
          <w:iCs w:val="0"/>
          <w:caps w:val="0"/>
          <w:color w:val="auto"/>
          <w:spacing w:val="0"/>
          <w:sz w:val="21"/>
          <w:szCs w:val="21"/>
          <w:highlight w:val="none"/>
          <w:shd w:val="clear" w:fill="FFFFFF"/>
          <w:lang w:val="en-US" w:eastAsia="zh-CN"/>
        </w:rPr>
      </w:pPr>
      <w:r>
        <w:rPr>
          <w:rFonts w:hint="eastAsia" w:ascii="宋体" w:hAnsi="宋体" w:eastAsia="宋体" w:cs="宋体"/>
          <w:b w:val="0"/>
          <w:bCs w:val="0"/>
          <w:i w:val="0"/>
          <w:iCs w:val="0"/>
          <w:caps w:val="0"/>
          <w:color w:val="auto"/>
          <w:spacing w:val="0"/>
          <w:sz w:val="21"/>
          <w:szCs w:val="21"/>
          <w:highlight w:val="none"/>
          <w:shd w:val="clear" w:fill="FFFFFF"/>
          <w:lang w:val="en-US" w:eastAsia="zh-CN"/>
        </w:rPr>
        <w:t>地址：</w:t>
      </w:r>
      <w:bookmarkStart w:id="32" w:name="OLE_LINK15"/>
      <w:r>
        <w:rPr>
          <w:rFonts w:hint="eastAsia" w:ascii="宋体" w:hAnsi="宋体" w:eastAsia="宋体" w:cs="宋体"/>
          <w:b w:val="0"/>
          <w:bCs w:val="0"/>
          <w:i w:val="0"/>
          <w:iCs w:val="0"/>
          <w:caps w:val="0"/>
          <w:color w:val="auto"/>
          <w:spacing w:val="0"/>
          <w:sz w:val="21"/>
          <w:szCs w:val="21"/>
          <w:highlight w:val="none"/>
          <w:shd w:val="clear" w:fill="FFFFFF"/>
          <w:lang w:val="en-US" w:eastAsia="zh-CN"/>
        </w:rPr>
        <w:t>盐城市盐都区宏都路华邦国际西厦603室</w:t>
      </w:r>
      <w:bookmarkEnd w:id="32"/>
    </w:p>
    <w:p w14:paraId="2810468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b w:val="0"/>
          <w:bCs w:val="0"/>
          <w:i w:val="0"/>
          <w:iCs w:val="0"/>
          <w:caps w:val="0"/>
          <w:color w:val="auto"/>
          <w:spacing w:val="0"/>
          <w:sz w:val="21"/>
          <w:szCs w:val="21"/>
          <w:highlight w:val="none"/>
          <w:shd w:val="clear" w:fill="FFFFFF"/>
          <w:lang w:val="en-US" w:eastAsia="zh-CN"/>
        </w:rPr>
      </w:pPr>
      <w:r>
        <w:rPr>
          <w:rFonts w:hint="eastAsia" w:ascii="宋体" w:hAnsi="宋体" w:eastAsia="宋体" w:cs="宋体"/>
          <w:b w:val="0"/>
          <w:bCs w:val="0"/>
          <w:i w:val="0"/>
          <w:iCs w:val="0"/>
          <w:caps w:val="0"/>
          <w:color w:val="auto"/>
          <w:spacing w:val="0"/>
          <w:sz w:val="21"/>
          <w:szCs w:val="21"/>
          <w:highlight w:val="none"/>
          <w:shd w:val="clear" w:fill="FFFFFF"/>
          <w:lang w:val="en-US" w:eastAsia="zh-CN"/>
        </w:rPr>
        <w:t>联系人：杨女士</w:t>
      </w:r>
    </w:p>
    <w:p w14:paraId="5556DCE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b w:val="0"/>
          <w:bCs w:val="0"/>
          <w:i w:val="0"/>
          <w:iCs w:val="0"/>
          <w:caps w:val="0"/>
          <w:color w:val="auto"/>
          <w:spacing w:val="0"/>
          <w:sz w:val="21"/>
          <w:szCs w:val="21"/>
          <w:highlight w:val="none"/>
          <w:shd w:val="clear" w:fill="FFFFFF"/>
          <w:lang w:val="en-US" w:eastAsia="zh-CN"/>
        </w:rPr>
      </w:pPr>
      <w:r>
        <w:rPr>
          <w:rFonts w:hint="eastAsia" w:ascii="宋体" w:hAnsi="宋体" w:eastAsia="宋体" w:cs="宋体"/>
          <w:b w:val="0"/>
          <w:bCs w:val="0"/>
          <w:i w:val="0"/>
          <w:iCs w:val="0"/>
          <w:caps w:val="0"/>
          <w:color w:val="auto"/>
          <w:spacing w:val="0"/>
          <w:sz w:val="21"/>
          <w:szCs w:val="21"/>
          <w:highlight w:val="none"/>
          <w:shd w:val="clear" w:fill="FFFFFF"/>
          <w:lang w:val="en-US" w:eastAsia="zh-CN"/>
        </w:rPr>
        <w:t>联系方式：</w:t>
      </w:r>
      <w:bookmarkStart w:id="33" w:name="OLE_LINK14"/>
      <w:r>
        <w:rPr>
          <w:rFonts w:hint="eastAsia" w:ascii="宋体" w:hAnsi="宋体" w:eastAsia="宋体" w:cs="宋体"/>
          <w:b w:val="0"/>
          <w:bCs w:val="0"/>
          <w:i w:val="0"/>
          <w:iCs w:val="0"/>
          <w:caps w:val="0"/>
          <w:color w:val="auto"/>
          <w:spacing w:val="0"/>
          <w:sz w:val="21"/>
          <w:szCs w:val="21"/>
          <w:highlight w:val="none"/>
          <w:shd w:val="clear" w:fill="FFFFFF"/>
          <w:lang w:val="en-US" w:eastAsia="zh-CN"/>
        </w:rPr>
        <w:t>13092197196</w:t>
      </w:r>
      <w:bookmarkEnd w:id="33"/>
    </w:p>
    <w:p w14:paraId="7DB6F9C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2" w:firstLineChars="200"/>
        <w:jc w:val="both"/>
        <w:textAlignment w:val="auto"/>
        <w:rPr>
          <w:rFonts w:hint="eastAsia" w:ascii="宋体" w:hAnsi="宋体" w:eastAsia="宋体" w:cs="宋体"/>
          <w:b/>
          <w:bCs/>
          <w:i w:val="0"/>
          <w:iCs w:val="0"/>
          <w:caps w:val="0"/>
          <w:color w:val="auto"/>
          <w:spacing w:val="0"/>
          <w:sz w:val="21"/>
          <w:szCs w:val="21"/>
          <w:highlight w:val="none"/>
          <w:shd w:val="clear" w:fill="FFFFFF"/>
          <w:lang w:val="en-US" w:eastAsia="zh-CN"/>
        </w:rPr>
      </w:pPr>
      <w:bookmarkStart w:id="34" w:name="_Toc28359021"/>
      <w:r>
        <w:rPr>
          <w:rFonts w:hint="eastAsia" w:ascii="宋体" w:hAnsi="宋体" w:eastAsia="宋体" w:cs="宋体"/>
          <w:b/>
          <w:bCs/>
          <w:i w:val="0"/>
          <w:iCs w:val="0"/>
          <w:caps w:val="0"/>
          <w:color w:val="auto"/>
          <w:spacing w:val="0"/>
          <w:sz w:val="21"/>
          <w:szCs w:val="21"/>
          <w:highlight w:val="none"/>
          <w:shd w:val="clear" w:fill="FFFFFF"/>
          <w:lang w:val="en-US" w:eastAsia="zh-CN"/>
        </w:rPr>
        <w:t>3.</w:t>
      </w:r>
      <w:bookmarkEnd w:id="34"/>
      <w:r>
        <w:rPr>
          <w:rFonts w:hint="eastAsia" w:ascii="宋体" w:hAnsi="宋体" w:eastAsia="宋体" w:cs="宋体"/>
          <w:b/>
          <w:bCs/>
          <w:i w:val="0"/>
          <w:iCs w:val="0"/>
          <w:caps w:val="0"/>
          <w:color w:val="auto"/>
          <w:spacing w:val="0"/>
          <w:sz w:val="21"/>
          <w:szCs w:val="21"/>
          <w:highlight w:val="none"/>
          <w:shd w:val="clear" w:fill="FFFFFF"/>
          <w:lang w:val="en-US" w:eastAsia="zh-CN"/>
        </w:rPr>
        <w:t>项目联系方式</w:t>
      </w:r>
    </w:p>
    <w:p w14:paraId="57868AE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b w:val="0"/>
          <w:bCs w:val="0"/>
          <w:i w:val="0"/>
          <w:iCs w:val="0"/>
          <w:caps w:val="0"/>
          <w:color w:val="auto"/>
          <w:spacing w:val="0"/>
          <w:sz w:val="21"/>
          <w:szCs w:val="21"/>
          <w:highlight w:val="none"/>
          <w:shd w:val="clear" w:fill="FFFFFF"/>
          <w:lang w:val="en-US" w:eastAsia="zh-CN"/>
        </w:rPr>
      </w:pPr>
      <w:r>
        <w:rPr>
          <w:rFonts w:hint="eastAsia" w:ascii="宋体" w:hAnsi="宋体" w:eastAsia="宋体" w:cs="宋体"/>
          <w:b w:val="0"/>
          <w:bCs w:val="0"/>
          <w:i w:val="0"/>
          <w:iCs w:val="0"/>
          <w:caps w:val="0"/>
          <w:color w:val="auto"/>
          <w:spacing w:val="0"/>
          <w:sz w:val="21"/>
          <w:szCs w:val="21"/>
          <w:highlight w:val="none"/>
          <w:shd w:val="clear" w:fill="FFFFFF"/>
          <w:lang w:val="en-US" w:eastAsia="zh-CN"/>
        </w:rPr>
        <w:t>项目联系人：杨女士</w:t>
      </w:r>
    </w:p>
    <w:p w14:paraId="1D4B3D5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auto"/>
        <w:rPr>
          <w:rFonts w:hint="eastAsia" w:ascii="宋体" w:hAnsi="宋体" w:eastAsia="宋体" w:cs="宋体"/>
          <w:i w:val="0"/>
          <w:iCs w:val="0"/>
          <w:caps w:val="0"/>
          <w:color w:val="auto"/>
          <w:spacing w:val="0"/>
          <w:sz w:val="21"/>
          <w:szCs w:val="21"/>
          <w:highlight w:val="none"/>
          <w:shd w:val="clear" w:fill="FFFFFF"/>
          <w:lang w:val="en-US" w:eastAsia="zh-CN"/>
        </w:rPr>
      </w:pPr>
      <w:r>
        <w:rPr>
          <w:rFonts w:hint="eastAsia" w:ascii="宋体" w:hAnsi="宋体" w:eastAsia="宋体" w:cs="宋体"/>
          <w:i w:val="0"/>
          <w:iCs w:val="0"/>
          <w:caps w:val="0"/>
          <w:color w:val="auto"/>
          <w:spacing w:val="0"/>
          <w:sz w:val="21"/>
          <w:szCs w:val="21"/>
          <w:highlight w:val="none"/>
          <w:shd w:val="clear" w:fill="FFFFFF"/>
          <w:lang w:val="en-US" w:eastAsia="zh-CN"/>
        </w:rPr>
        <w:t>电话：</w:t>
      </w:r>
      <w:r>
        <w:rPr>
          <w:rFonts w:hint="eastAsia" w:ascii="宋体" w:hAnsi="宋体" w:eastAsia="宋体" w:cs="宋体"/>
          <w:b w:val="0"/>
          <w:bCs w:val="0"/>
          <w:i w:val="0"/>
          <w:iCs w:val="0"/>
          <w:caps w:val="0"/>
          <w:color w:val="auto"/>
          <w:spacing w:val="0"/>
          <w:sz w:val="21"/>
          <w:szCs w:val="21"/>
          <w:highlight w:val="none"/>
          <w:shd w:val="clear" w:fill="FFFFFF"/>
          <w:lang w:val="en-US" w:eastAsia="zh-CN"/>
        </w:rPr>
        <w:t>13092197196</w:t>
      </w:r>
    </w:p>
    <w:p w14:paraId="004526D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883" w:firstLineChars="200"/>
        <w:jc w:val="center"/>
        <w:textAlignment w:val="auto"/>
        <w:rPr>
          <w:rFonts w:hint="eastAsia" w:ascii="黑体" w:hAnsi="宋体" w:eastAsia="黑体" w:cs="黑体"/>
          <w:b/>
          <w:color w:val="auto"/>
          <w:sz w:val="44"/>
          <w:szCs w:val="44"/>
          <w:highlight w:val="none"/>
        </w:rPr>
      </w:pPr>
      <w:bookmarkStart w:id="35" w:name="_Toc120614211"/>
    </w:p>
    <w:p w14:paraId="13B3B4F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883" w:firstLineChars="200"/>
        <w:jc w:val="center"/>
        <w:textAlignment w:val="auto"/>
        <w:rPr>
          <w:rFonts w:hint="eastAsia" w:ascii="黑体" w:hAnsi="宋体" w:eastAsia="黑体" w:cs="黑体"/>
          <w:b/>
          <w:color w:val="auto"/>
          <w:sz w:val="44"/>
          <w:szCs w:val="44"/>
          <w:highlight w:val="none"/>
        </w:rPr>
      </w:pPr>
    </w:p>
    <w:p w14:paraId="02D7E10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883" w:firstLineChars="200"/>
        <w:jc w:val="center"/>
        <w:textAlignment w:val="auto"/>
        <w:rPr>
          <w:rFonts w:hint="eastAsia" w:ascii="黑体" w:hAnsi="宋体" w:eastAsia="黑体" w:cs="黑体"/>
          <w:b/>
          <w:color w:val="auto"/>
          <w:sz w:val="44"/>
          <w:szCs w:val="44"/>
          <w:highlight w:val="none"/>
        </w:rPr>
      </w:pPr>
    </w:p>
    <w:p w14:paraId="71FA06B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883" w:firstLineChars="200"/>
        <w:jc w:val="center"/>
        <w:textAlignment w:val="auto"/>
        <w:rPr>
          <w:rFonts w:hint="eastAsia" w:ascii="黑体" w:hAnsi="宋体" w:eastAsia="黑体" w:cs="黑体"/>
          <w:b/>
          <w:color w:val="auto"/>
          <w:sz w:val="44"/>
          <w:szCs w:val="44"/>
          <w:highlight w:val="none"/>
        </w:rPr>
      </w:pPr>
    </w:p>
    <w:p w14:paraId="73C5644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883" w:firstLineChars="200"/>
        <w:jc w:val="center"/>
        <w:textAlignment w:val="auto"/>
        <w:rPr>
          <w:rFonts w:hint="eastAsia" w:ascii="黑体" w:hAnsi="宋体" w:eastAsia="黑体" w:cs="黑体"/>
          <w:b/>
          <w:color w:val="auto"/>
          <w:sz w:val="44"/>
          <w:szCs w:val="44"/>
          <w:highlight w:val="none"/>
        </w:rPr>
      </w:pPr>
    </w:p>
    <w:p w14:paraId="4789AB0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883" w:firstLineChars="200"/>
        <w:jc w:val="center"/>
        <w:textAlignment w:val="auto"/>
        <w:rPr>
          <w:rFonts w:hint="eastAsia" w:ascii="黑体" w:hAnsi="宋体" w:eastAsia="黑体" w:cs="黑体"/>
          <w:b/>
          <w:color w:val="auto"/>
          <w:sz w:val="44"/>
          <w:szCs w:val="44"/>
          <w:highlight w:val="none"/>
        </w:rPr>
      </w:pPr>
    </w:p>
    <w:p w14:paraId="7114636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883" w:firstLineChars="200"/>
        <w:jc w:val="center"/>
        <w:textAlignment w:val="auto"/>
        <w:rPr>
          <w:rFonts w:hint="eastAsia" w:ascii="黑体" w:hAnsi="宋体" w:eastAsia="黑体" w:cs="黑体"/>
          <w:b/>
          <w:color w:val="auto"/>
          <w:sz w:val="44"/>
          <w:szCs w:val="44"/>
          <w:highlight w:val="none"/>
        </w:rPr>
      </w:pPr>
    </w:p>
    <w:p w14:paraId="7E8E9B9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883" w:firstLineChars="200"/>
        <w:jc w:val="center"/>
        <w:textAlignment w:val="auto"/>
        <w:rPr>
          <w:rFonts w:hint="eastAsia" w:ascii="黑体" w:hAnsi="宋体" w:eastAsia="黑体" w:cs="黑体"/>
          <w:b/>
          <w:color w:val="auto"/>
          <w:sz w:val="44"/>
          <w:szCs w:val="44"/>
          <w:highlight w:val="none"/>
        </w:rPr>
      </w:pPr>
    </w:p>
    <w:p w14:paraId="22B3A7E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883" w:firstLineChars="200"/>
        <w:jc w:val="center"/>
        <w:textAlignment w:val="auto"/>
        <w:rPr>
          <w:rFonts w:hint="eastAsia" w:ascii="黑体" w:hAnsi="宋体" w:eastAsia="黑体" w:cs="黑体"/>
          <w:b/>
          <w:color w:val="auto"/>
          <w:sz w:val="44"/>
          <w:szCs w:val="44"/>
          <w:highlight w:val="none"/>
        </w:rPr>
      </w:pPr>
    </w:p>
    <w:p w14:paraId="5715DE6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883" w:firstLineChars="200"/>
        <w:jc w:val="center"/>
        <w:textAlignment w:val="auto"/>
        <w:rPr>
          <w:rFonts w:hint="eastAsia" w:ascii="黑体" w:hAnsi="宋体" w:eastAsia="黑体" w:cs="黑体"/>
          <w:b/>
          <w:color w:val="auto"/>
          <w:sz w:val="44"/>
          <w:szCs w:val="44"/>
          <w:highlight w:val="none"/>
        </w:rPr>
      </w:pPr>
    </w:p>
    <w:p w14:paraId="2E5F4FA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883" w:firstLineChars="200"/>
        <w:jc w:val="center"/>
        <w:textAlignment w:val="auto"/>
        <w:rPr>
          <w:rFonts w:hint="eastAsia" w:ascii="黑体" w:hAnsi="宋体" w:eastAsia="黑体" w:cs="黑体"/>
          <w:b/>
          <w:color w:val="auto"/>
          <w:sz w:val="44"/>
          <w:szCs w:val="44"/>
          <w:highlight w:val="none"/>
        </w:rPr>
      </w:pPr>
    </w:p>
    <w:p w14:paraId="3D646EA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883" w:firstLineChars="200"/>
        <w:jc w:val="center"/>
        <w:textAlignment w:val="auto"/>
        <w:rPr>
          <w:rFonts w:hint="eastAsia" w:ascii="黑体" w:hAnsi="宋体" w:eastAsia="黑体" w:cs="黑体"/>
          <w:b/>
          <w:color w:val="auto"/>
          <w:sz w:val="44"/>
          <w:szCs w:val="44"/>
          <w:highlight w:val="none"/>
        </w:rPr>
      </w:pPr>
    </w:p>
    <w:p w14:paraId="410AC5C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883" w:firstLineChars="200"/>
        <w:jc w:val="center"/>
        <w:textAlignment w:val="auto"/>
        <w:rPr>
          <w:rFonts w:hint="eastAsia" w:ascii="黑体" w:hAnsi="宋体" w:eastAsia="黑体" w:cs="黑体"/>
          <w:b/>
          <w:color w:val="auto"/>
          <w:sz w:val="44"/>
          <w:szCs w:val="44"/>
          <w:highlight w:val="none"/>
        </w:rPr>
      </w:pPr>
    </w:p>
    <w:p w14:paraId="7C5A7BF2">
      <w:pPr>
        <w:rPr>
          <w:rFonts w:hint="eastAsia" w:ascii="黑体" w:hAnsi="宋体" w:eastAsia="黑体" w:cs="黑体"/>
          <w:b/>
          <w:color w:val="auto"/>
          <w:sz w:val="44"/>
          <w:szCs w:val="44"/>
          <w:highlight w:val="none"/>
        </w:rPr>
      </w:pPr>
    </w:p>
    <w:p w14:paraId="406D6288">
      <w:pPr>
        <w:rPr>
          <w:rFonts w:hint="eastAsia" w:ascii="黑体" w:hAnsi="宋体" w:eastAsia="黑体" w:cs="黑体"/>
          <w:b/>
          <w:color w:val="auto"/>
          <w:sz w:val="44"/>
          <w:szCs w:val="44"/>
          <w:highlight w:val="none"/>
        </w:rPr>
      </w:pPr>
    </w:p>
    <w:p w14:paraId="5202D70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both"/>
        <w:textAlignment w:val="auto"/>
        <w:rPr>
          <w:rFonts w:hint="eastAsia" w:ascii="黑体" w:hAnsi="宋体" w:eastAsia="黑体" w:cs="黑体"/>
          <w:b/>
          <w:color w:val="auto"/>
          <w:sz w:val="44"/>
          <w:szCs w:val="44"/>
          <w:highlight w:val="none"/>
        </w:rPr>
      </w:pPr>
    </w:p>
    <w:p w14:paraId="1399602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883" w:firstLineChars="200"/>
        <w:jc w:val="center"/>
        <w:textAlignment w:val="auto"/>
        <w:rPr>
          <w:color w:val="auto"/>
          <w:highlight w:val="none"/>
        </w:rPr>
      </w:pPr>
      <w:r>
        <w:rPr>
          <w:rFonts w:hint="eastAsia" w:ascii="黑体" w:hAnsi="宋体" w:eastAsia="黑体" w:cs="黑体"/>
          <w:b/>
          <w:color w:val="auto"/>
          <w:sz w:val="44"/>
          <w:szCs w:val="44"/>
          <w:highlight w:val="none"/>
        </w:rPr>
        <w:t>第二章 </w:t>
      </w:r>
      <w:bookmarkEnd w:id="35"/>
      <w:bookmarkStart w:id="36" w:name="_Toc16938518"/>
      <w:bookmarkStart w:id="37" w:name="_Toc120614213"/>
      <w:bookmarkStart w:id="38" w:name="_Toc513029202"/>
      <w:bookmarkStart w:id="39" w:name="_Toc20823274"/>
      <w:r>
        <w:rPr>
          <w:rFonts w:hint="eastAsia" w:ascii="黑体" w:hAnsi="宋体" w:eastAsia="黑体" w:cs="黑体"/>
          <w:b/>
          <w:color w:val="auto"/>
          <w:sz w:val="44"/>
          <w:szCs w:val="44"/>
          <w:highlight w:val="none"/>
        </w:rPr>
        <w:t>投标人须知</w:t>
      </w:r>
      <w:bookmarkEnd w:id="36"/>
      <w:bookmarkEnd w:id="37"/>
      <w:bookmarkEnd w:id="38"/>
      <w:bookmarkEnd w:id="39"/>
    </w:p>
    <w:p w14:paraId="65FE4B0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2" w:firstLineChars="200"/>
        <w:jc w:val="both"/>
        <w:textAlignment w:val="auto"/>
        <w:rPr>
          <w:rFonts w:hint="eastAsia" w:ascii="宋体" w:hAnsi="宋体" w:eastAsia="宋体" w:cs="宋体"/>
          <w:color w:val="auto"/>
          <w:sz w:val="21"/>
          <w:szCs w:val="21"/>
          <w:highlight w:val="none"/>
        </w:rPr>
      </w:pPr>
      <w:bookmarkStart w:id="40" w:name="_Toc16938519"/>
      <w:bookmarkStart w:id="41" w:name="_Toc120614214"/>
      <w:bookmarkStart w:id="42" w:name="_Toc20823275"/>
      <w:bookmarkStart w:id="43" w:name="_Toc513029203"/>
      <w:r>
        <w:rPr>
          <w:rFonts w:hint="eastAsia" w:ascii="宋体" w:hAnsi="宋体" w:eastAsia="宋体" w:cs="宋体"/>
          <w:b/>
          <w:color w:val="auto"/>
          <w:sz w:val="21"/>
          <w:szCs w:val="21"/>
          <w:highlight w:val="none"/>
        </w:rPr>
        <w:t>一、总则</w:t>
      </w:r>
      <w:bookmarkEnd w:id="40"/>
      <w:bookmarkEnd w:id="41"/>
      <w:bookmarkEnd w:id="42"/>
      <w:bookmarkEnd w:id="43"/>
    </w:p>
    <w:p w14:paraId="724EAD43">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44" w:name="_Toc16938520"/>
      <w:bookmarkStart w:id="45" w:name="_Toc513029204"/>
      <w:bookmarkStart w:id="46" w:name="_Toc458694821"/>
      <w:bookmarkStart w:id="47" w:name="_Toc20823276"/>
      <w:bookmarkStart w:id="48" w:name="_Hlt16619475"/>
      <w:r>
        <w:rPr>
          <w:rFonts w:hint="eastAsia" w:ascii="宋体" w:hAnsi="宋体" w:eastAsia="宋体" w:cs="宋体"/>
          <w:color w:val="auto"/>
          <w:sz w:val="21"/>
          <w:szCs w:val="21"/>
          <w:highlight w:val="none"/>
        </w:rPr>
        <w:t>1</w:t>
      </w:r>
      <w:bookmarkEnd w:id="44"/>
      <w:r>
        <w:rPr>
          <w:rFonts w:hint="eastAsia" w:ascii="宋体" w:hAnsi="宋体" w:eastAsia="宋体" w:cs="宋体"/>
          <w:color w:val="auto"/>
          <w:sz w:val="21"/>
          <w:szCs w:val="21"/>
          <w:highlight w:val="none"/>
        </w:rPr>
        <w:t>、招标方式</w:t>
      </w:r>
      <w:bookmarkEnd w:id="45"/>
      <w:bookmarkEnd w:id="46"/>
      <w:bookmarkEnd w:id="47"/>
    </w:p>
    <w:p w14:paraId="06F7AB7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1.1本次招标采取公开招标方式，本招标文件仅适用于招标公告中所述项目。</w:t>
      </w:r>
    </w:p>
    <w:p w14:paraId="46BC9232">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49" w:name="_Toc16938521"/>
      <w:bookmarkStart w:id="50" w:name="_Toc20823277"/>
      <w:bookmarkStart w:id="51" w:name="_Toc513029205"/>
      <w:r>
        <w:rPr>
          <w:rFonts w:hint="eastAsia" w:ascii="宋体" w:hAnsi="宋体" w:eastAsia="宋体" w:cs="宋体"/>
          <w:color w:val="auto"/>
          <w:sz w:val="21"/>
          <w:szCs w:val="21"/>
          <w:highlight w:val="none"/>
        </w:rPr>
        <w:t>2、合格的投标人</w:t>
      </w:r>
      <w:bookmarkEnd w:id="49"/>
      <w:bookmarkEnd w:id="50"/>
      <w:bookmarkEnd w:id="51"/>
    </w:p>
    <w:p w14:paraId="3ADD0FE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2.1满足招标公告中供应商的资格要求的规定。</w:t>
      </w:r>
    </w:p>
    <w:p w14:paraId="21F1282A">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2.2满足本文件实质性要求和条件的规定。</w:t>
      </w:r>
    </w:p>
    <w:p w14:paraId="7363693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bookmarkStart w:id="52" w:name="_Toc513029206"/>
      <w:bookmarkStart w:id="53" w:name="_Toc16938522"/>
      <w:bookmarkStart w:id="54" w:name="_Toc20823278"/>
      <w:bookmarkStart w:id="55" w:name="_Toc16938523"/>
      <w:bookmarkStart w:id="56" w:name="_Toc513029207"/>
      <w:bookmarkStart w:id="57" w:name="_Toc20823279"/>
      <w:bookmarkStart w:id="58" w:name="_Toc462564067"/>
      <w:r>
        <w:rPr>
          <w:rFonts w:hint="eastAsia" w:ascii="宋体" w:hAnsi="宋体" w:eastAsia="宋体" w:cs="宋体"/>
          <w:color w:val="auto"/>
          <w:sz w:val="21"/>
          <w:szCs w:val="21"/>
        </w:rPr>
        <w:t>3、适用法律</w:t>
      </w:r>
      <w:bookmarkEnd w:id="52"/>
      <w:bookmarkEnd w:id="53"/>
      <w:bookmarkEnd w:id="54"/>
      <w:r>
        <w:rPr>
          <w:rFonts w:hint="eastAsia" w:ascii="宋体" w:hAnsi="宋体" w:eastAsia="宋体" w:cs="宋体"/>
          <w:color w:val="auto"/>
          <w:sz w:val="21"/>
          <w:szCs w:val="21"/>
        </w:rPr>
        <w:t>和标准</w:t>
      </w:r>
    </w:p>
    <w:p w14:paraId="6B4D25D3">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3.1本次招标及由此产生的合同受中华人民共和国有关的法律法规制约和保护。</w:t>
      </w:r>
    </w:p>
    <w:p w14:paraId="49987982">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rPr>
        <w:t>3.2在本项目政府采购活动过程中，如果所执行的标准有更新的，按照最新标准执行。</w:t>
      </w:r>
    </w:p>
    <w:p w14:paraId="500BD579">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4、投标费用</w:t>
      </w:r>
      <w:bookmarkEnd w:id="55"/>
      <w:bookmarkEnd w:id="56"/>
      <w:bookmarkEnd w:id="57"/>
      <w:bookmarkEnd w:id="58"/>
    </w:p>
    <w:p w14:paraId="6D289F59">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在任何情况下均无义务和责任承担这些费用。</w:t>
      </w:r>
    </w:p>
    <w:p w14:paraId="63167B63">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4.2本次招标</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和采购人不收取标书工本费。</w:t>
      </w:r>
    </w:p>
    <w:p w14:paraId="4A7194B7">
      <w:pPr>
        <w:pStyle w:val="19"/>
        <w:spacing w:beforeAutospacing="0" w:afterAutospacing="0" w:line="348" w:lineRule="auto"/>
        <w:ind w:firstLine="420"/>
        <w:jc w:val="both"/>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en-US" w:eastAsia="zh-CN"/>
        </w:rPr>
        <w:t>4.3</w:t>
      </w:r>
      <w:r>
        <w:rPr>
          <w:rFonts w:hint="eastAsia" w:ascii="宋体" w:hAnsi="宋体" w:cs="宋体"/>
          <w:color w:val="auto"/>
          <w:sz w:val="21"/>
          <w:szCs w:val="21"/>
          <w:highlight w:val="none"/>
        </w:rPr>
        <w:t>本项目代理服务费由项目中标单位支付，在领取中标通知书时支付。</w:t>
      </w:r>
    </w:p>
    <w:p w14:paraId="2C656ED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color w:val="auto"/>
          <w:sz w:val="21"/>
          <w:szCs w:val="21"/>
          <w:highlight w:val="none"/>
          <w:lang w:val="en-US" w:eastAsia="zh-CN"/>
        </w:rPr>
      </w:pPr>
      <w:r>
        <w:rPr>
          <w:rFonts w:hint="eastAsia" w:ascii="宋体" w:hAnsi="宋体" w:cs="宋体"/>
          <w:bCs/>
          <w:color w:val="auto"/>
          <w:sz w:val="21"/>
          <w:szCs w:val="21"/>
          <w:highlight w:val="none"/>
        </w:rPr>
        <w:t>代理服务费收费标准：为方便计算，代理服务费参照《江苏省政府采购代理服务收费指导意见》的通知（苏政采协【2024】20号）收费标准计取。</w:t>
      </w:r>
    </w:p>
    <w:p w14:paraId="35584B1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5、招标文件的约束力</w:t>
      </w:r>
    </w:p>
    <w:p w14:paraId="68F8A177">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5.1投标人一旦参加本项目采购活动，即被认为接受了本招标文件的规定和约束。</w:t>
      </w:r>
    </w:p>
    <w:p w14:paraId="5CA65C39">
      <w:pPr>
        <w:keepNext w:val="0"/>
        <w:keepLines w:val="0"/>
        <w:pageBreakBefore w:val="0"/>
        <w:widowControl/>
        <w:suppressLineNumbers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 w:val="21"/>
          <w:szCs w:val="21"/>
          <w:highlight w:val="none"/>
        </w:rPr>
      </w:pPr>
      <w:bookmarkStart w:id="59" w:name="_Toc120614215"/>
      <w:bookmarkStart w:id="60" w:name="_Toc20823281"/>
      <w:bookmarkStart w:id="61" w:name="_Toc513029209"/>
      <w:bookmarkStart w:id="62" w:name="_Toc16938525"/>
      <w:r>
        <w:rPr>
          <w:rFonts w:hint="eastAsia" w:ascii="宋体" w:hAnsi="宋体" w:eastAsia="宋体" w:cs="宋体"/>
          <w:b/>
          <w:color w:val="auto"/>
          <w:sz w:val="21"/>
          <w:szCs w:val="21"/>
          <w:highlight w:val="none"/>
        </w:rPr>
        <w:t>二、招标文件</w:t>
      </w:r>
      <w:bookmarkEnd w:id="59"/>
      <w:bookmarkEnd w:id="60"/>
      <w:bookmarkEnd w:id="61"/>
      <w:bookmarkEnd w:id="62"/>
    </w:p>
    <w:p w14:paraId="2F3C147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63" w:name="_Toc513029210"/>
      <w:bookmarkStart w:id="64" w:name="_Toc20823282"/>
      <w:bookmarkStart w:id="65" w:name="_Toc16938526"/>
      <w:r>
        <w:rPr>
          <w:rFonts w:hint="eastAsia" w:ascii="宋体" w:hAnsi="宋体" w:eastAsia="宋体" w:cs="宋体"/>
          <w:color w:val="auto"/>
          <w:sz w:val="21"/>
          <w:szCs w:val="21"/>
          <w:highlight w:val="none"/>
        </w:rPr>
        <w:t>6、招标文件构成</w:t>
      </w:r>
      <w:bookmarkEnd w:id="63"/>
      <w:bookmarkEnd w:id="64"/>
      <w:bookmarkEnd w:id="65"/>
    </w:p>
    <w:p w14:paraId="3B109C22">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6.1招标文件由以下部分组成：</w:t>
      </w:r>
    </w:p>
    <w:p w14:paraId="1FB858A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招标公告</w:t>
      </w:r>
    </w:p>
    <w:p w14:paraId="33F8FC1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2A112C6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（3）合同文本</w:t>
      </w:r>
    </w:p>
    <w:p w14:paraId="633DB84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（4）采购需求</w:t>
      </w:r>
    </w:p>
    <w:p w14:paraId="3C05CDCF">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（5）评标方法与评标标准</w:t>
      </w:r>
    </w:p>
    <w:p w14:paraId="4C4A37A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（6）投标文件格式</w:t>
      </w:r>
    </w:p>
    <w:p w14:paraId="2E23314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请仔细检查招标文件是否齐全，如有缺漏请立即与</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联系解决。</w:t>
      </w:r>
    </w:p>
    <w:p w14:paraId="7B69F302">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274438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66" w:name="_Toc20823283"/>
      <w:bookmarkStart w:id="67" w:name="_Toc462564070"/>
      <w:bookmarkStart w:id="68" w:name="_Toc16938527"/>
      <w:bookmarkStart w:id="69" w:name="_Toc513029211"/>
      <w:r>
        <w:rPr>
          <w:rFonts w:hint="eastAsia" w:ascii="宋体" w:hAnsi="宋体" w:eastAsia="宋体" w:cs="宋体"/>
          <w:color w:val="auto"/>
          <w:sz w:val="21"/>
          <w:szCs w:val="21"/>
          <w:highlight w:val="none"/>
        </w:rPr>
        <w:t>7、招标文件的澄清</w:t>
      </w:r>
      <w:bookmarkEnd w:id="66"/>
      <w:bookmarkEnd w:id="67"/>
      <w:bookmarkEnd w:id="68"/>
      <w:bookmarkEnd w:id="69"/>
    </w:p>
    <w:p w14:paraId="6AD8B49E">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7.1任何要求对招标文件进行澄清的投标人，应在投标截止期</w:t>
      </w:r>
      <w:r>
        <w:rPr>
          <w:rFonts w:hint="eastAsia" w:ascii="宋体" w:hAnsi="宋体" w:eastAsia="宋体" w:cs="宋体"/>
          <w:b/>
          <w:color w:val="auto"/>
          <w:sz w:val="21"/>
          <w:szCs w:val="21"/>
          <w:highlight w:val="none"/>
        </w:rPr>
        <w:t>十日</w:t>
      </w:r>
      <w:r>
        <w:rPr>
          <w:rFonts w:hint="eastAsia" w:ascii="宋体" w:hAnsi="宋体" w:eastAsia="宋体" w:cs="宋体"/>
          <w:color w:val="auto"/>
          <w:sz w:val="21"/>
          <w:szCs w:val="21"/>
          <w:highlight w:val="none"/>
        </w:rPr>
        <w:t>前按招标公告中的通讯地址，以书面形式通知</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w:t>
      </w:r>
    </w:p>
    <w:p w14:paraId="12EA0177">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70" w:name="_Toc16938528"/>
      <w:bookmarkStart w:id="71" w:name="_Toc20823284"/>
      <w:bookmarkStart w:id="72" w:name="_Toc462564071"/>
      <w:bookmarkStart w:id="73" w:name="_Toc513029212"/>
      <w:r>
        <w:rPr>
          <w:rFonts w:hint="eastAsia" w:ascii="宋体" w:hAnsi="宋体" w:eastAsia="宋体" w:cs="宋体"/>
          <w:color w:val="auto"/>
          <w:sz w:val="21"/>
          <w:szCs w:val="21"/>
          <w:highlight w:val="none"/>
        </w:rPr>
        <w:t>8、招标文件的修改</w:t>
      </w:r>
      <w:bookmarkEnd w:id="70"/>
      <w:bookmarkEnd w:id="71"/>
      <w:bookmarkEnd w:id="72"/>
      <w:bookmarkEnd w:id="73"/>
    </w:p>
    <w:p w14:paraId="14B064E3">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8.1在投标截止时间前，</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可以对招标文件进行修改。</w:t>
      </w:r>
    </w:p>
    <w:p w14:paraId="74E4F4F2">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有权按照法定的要求推迟投标截止日期和开标日期。</w:t>
      </w:r>
    </w:p>
    <w:p w14:paraId="729C1ABE">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8.3招标文件的修改将在</w:t>
      </w:r>
      <w:r>
        <w:rPr>
          <w:rFonts w:hint="eastAsia" w:ascii="宋体" w:hAnsi="宋体" w:eastAsia="宋体" w:cs="宋体"/>
          <w:color w:val="auto"/>
          <w:kern w:val="0"/>
          <w:sz w:val="21"/>
          <w:szCs w:val="21"/>
          <w:highlight w:val="none"/>
          <w:lang w:val="en-US" w:eastAsia="zh-CN" w:bidi="ar-SA"/>
        </w:rPr>
        <w:t>中国政府采购网</w:t>
      </w:r>
      <w:r>
        <w:rPr>
          <w:rFonts w:hint="eastAsia" w:ascii="宋体" w:hAnsi="宋体" w:eastAsia="宋体" w:cs="宋体"/>
          <w:i w:val="0"/>
          <w:iCs w:val="0"/>
          <w:caps w:val="0"/>
          <w:color w:val="auto"/>
          <w:spacing w:val="0"/>
          <w:sz w:val="21"/>
          <w:szCs w:val="21"/>
          <w:highlight w:val="none"/>
          <w:shd w:val="clear" w:fill="FFFFFF"/>
          <w:lang w:val="en-US" w:eastAsia="zh-CN"/>
        </w:rPr>
        <w:t>、</w:t>
      </w:r>
      <w:r>
        <w:rPr>
          <w:rFonts w:hint="eastAsia" w:ascii="宋体" w:hAnsi="宋体" w:eastAsia="宋体" w:cs="宋体"/>
          <w:color w:val="auto"/>
          <w:sz w:val="21"/>
          <w:szCs w:val="21"/>
          <w:highlight w:val="none"/>
        </w:rPr>
        <w:t>江苏政府采购网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盐城市政府采购网公布，补充文件将作为招标文件的组成部分，并对投标人具有约束力。</w:t>
      </w:r>
    </w:p>
    <w:p w14:paraId="236FDDA9">
      <w:pPr>
        <w:keepNext w:val="0"/>
        <w:keepLines w:val="0"/>
        <w:pageBreakBefore w:val="0"/>
        <w:widowControl/>
        <w:suppressLineNumbers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 w:val="21"/>
          <w:szCs w:val="21"/>
          <w:highlight w:val="none"/>
        </w:rPr>
      </w:pPr>
      <w:bookmarkStart w:id="74" w:name="_Toc20823285"/>
      <w:bookmarkStart w:id="75" w:name="_Toc16938529"/>
      <w:bookmarkStart w:id="76" w:name="_Toc513029213"/>
      <w:bookmarkStart w:id="77" w:name="_Toc462564072"/>
      <w:bookmarkStart w:id="78" w:name="_Toc120614216"/>
      <w:r>
        <w:rPr>
          <w:rFonts w:hint="eastAsia" w:ascii="宋体" w:hAnsi="宋体" w:eastAsia="宋体" w:cs="宋体"/>
          <w:b/>
          <w:color w:val="auto"/>
          <w:sz w:val="21"/>
          <w:szCs w:val="21"/>
          <w:highlight w:val="none"/>
        </w:rPr>
        <w:t>三、投标文件的编制</w:t>
      </w:r>
      <w:bookmarkEnd w:id="74"/>
      <w:bookmarkEnd w:id="75"/>
      <w:bookmarkEnd w:id="76"/>
      <w:bookmarkEnd w:id="77"/>
      <w:bookmarkEnd w:id="78"/>
    </w:p>
    <w:p w14:paraId="552BB72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79" w:name="_Toc462564073"/>
      <w:bookmarkStart w:id="80" w:name="_Toc16938530"/>
      <w:bookmarkStart w:id="81" w:name="_Toc20823286"/>
      <w:bookmarkStart w:id="82" w:name="_Toc513029214"/>
      <w:r>
        <w:rPr>
          <w:rFonts w:hint="eastAsia" w:ascii="宋体" w:hAnsi="宋体" w:eastAsia="宋体" w:cs="宋体"/>
          <w:color w:val="auto"/>
          <w:sz w:val="21"/>
          <w:szCs w:val="21"/>
          <w:highlight w:val="none"/>
        </w:rPr>
        <w:t>9、投标文件的语言及度量衡单位</w:t>
      </w:r>
      <w:bookmarkEnd w:id="79"/>
      <w:bookmarkEnd w:id="80"/>
      <w:bookmarkEnd w:id="81"/>
      <w:bookmarkEnd w:id="82"/>
    </w:p>
    <w:p w14:paraId="507CF24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9.1投标人提交的投标文件以及投标人与</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就有关投标的所有来往通知、函件和文件均应使用</w:t>
      </w:r>
      <w:r>
        <w:rPr>
          <w:rFonts w:hint="eastAsia" w:ascii="宋体" w:hAnsi="宋体" w:eastAsia="宋体" w:cs="宋体"/>
          <w:b/>
          <w:color w:val="auto"/>
          <w:sz w:val="21"/>
          <w:szCs w:val="21"/>
          <w:highlight w:val="none"/>
        </w:rPr>
        <w:t>简体中文</w:t>
      </w:r>
      <w:r>
        <w:rPr>
          <w:rFonts w:hint="eastAsia" w:ascii="宋体" w:hAnsi="宋体" w:eastAsia="宋体" w:cs="宋体"/>
          <w:color w:val="auto"/>
          <w:sz w:val="21"/>
          <w:szCs w:val="21"/>
          <w:highlight w:val="none"/>
        </w:rPr>
        <w:t>。</w:t>
      </w:r>
    </w:p>
    <w:p w14:paraId="42E5547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9.2除技术性能另有规定外，投标文件所使用的度量衡单位，均须采用国家法定计量单位。</w:t>
      </w:r>
    </w:p>
    <w:p w14:paraId="4928DF83">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83" w:name="_Toc462564074"/>
      <w:bookmarkStart w:id="84" w:name="_Toc16938531"/>
      <w:bookmarkStart w:id="85" w:name="_Toc20823287"/>
      <w:bookmarkStart w:id="86" w:name="_Toc513029215"/>
      <w:r>
        <w:rPr>
          <w:rFonts w:hint="eastAsia" w:ascii="宋体" w:hAnsi="宋体" w:eastAsia="宋体" w:cs="宋体"/>
          <w:color w:val="auto"/>
          <w:sz w:val="21"/>
          <w:szCs w:val="21"/>
          <w:highlight w:val="none"/>
        </w:rPr>
        <w:t>10、投标文件构成</w:t>
      </w:r>
      <w:bookmarkEnd w:id="83"/>
      <w:bookmarkEnd w:id="84"/>
      <w:bookmarkEnd w:id="85"/>
      <w:bookmarkEnd w:id="86"/>
    </w:p>
    <w:p w14:paraId="77648B5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10.1投标人编写的投标文件应包括资格证明文件、符合性证明文件、投标分项报价表、技术要求响应及偏离表、商务要求响应及偏离表、其他证明文件、投标函、开标一览表等部分。</w:t>
      </w:r>
    </w:p>
    <w:p w14:paraId="2DF97833">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10.2如标书制作工具中格式和内容与</w:t>
      </w:r>
      <w:r>
        <w:rPr>
          <w:rFonts w:hint="eastAsia" w:ascii="宋体" w:hAnsi="宋体" w:eastAsia="宋体" w:cs="宋体"/>
          <w:i w:val="0"/>
          <w:iCs w:val="0"/>
          <w:caps w:val="0"/>
          <w:color w:val="auto"/>
          <w:spacing w:val="0"/>
          <w:sz w:val="21"/>
          <w:szCs w:val="21"/>
          <w:highlight w:val="none"/>
          <w:shd w:val="clear" w:fill="FFFFFF"/>
          <w:lang w:val="en-US" w:eastAsia="zh-CN"/>
        </w:rPr>
        <w:t>“</w:t>
      </w:r>
      <w:r>
        <w:rPr>
          <w:rFonts w:hint="eastAsia" w:ascii="宋体" w:hAnsi="宋体" w:eastAsia="宋体" w:cs="宋体"/>
          <w:color w:val="auto"/>
          <w:kern w:val="0"/>
          <w:sz w:val="21"/>
          <w:szCs w:val="21"/>
          <w:highlight w:val="none"/>
          <w:lang w:val="en-US" w:eastAsia="zh-CN" w:bidi="ar-SA"/>
        </w:rPr>
        <w:t>中国政府采购网”“</w:t>
      </w:r>
      <w:r>
        <w:rPr>
          <w:rFonts w:hint="eastAsia" w:ascii="宋体" w:hAnsi="宋体" w:eastAsia="宋体" w:cs="宋体"/>
          <w:color w:val="auto"/>
          <w:sz w:val="21"/>
          <w:szCs w:val="21"/>
          <w:highlight w:val="none"/>
        </w:rPr>
        <w:t>江苏政府采购网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盐城市政府采购网”发布的招标文件不一致，请以</w:t>
      </w:r>
      <w:r>
        <w:rPr>
          <w:rFonts w:hint="eastAsia" w:ascii="宋体" w:hAnsi="宋体" w:eastAsia="宋体" w:cs="宋体"/>
          <w:i w:val="0"/>
          <w:iCs w:val="0"/>
          <w:caps w:val="0"/>
          <w:color w:val="auto"/>
          <w:spacing w:val="0"/>
          <w:sz w:val="21"/>
          <w:szCs w:val="21"/>
          <w:highlight w:val="none"/>
          <w:shd w:val="clear" w:fill="FFFFFF"/>
          <w:lang w:val="en-US" w:eastAsia="zh-CN"/>
        </w:rPr>
        <w:t>“</w:t>
      </w:r>
      <w:r>
        <w:rPr>
          <w:rFonts w:hint="eastAsia" w:ascii="宋体" w:hAnsi="宋体" w:eastAsia="宋体" w:cs="宋体"/>
          <w:color w:val="auto"/>
          <w:kern w:val="0"/>
          <w:sz w:val="21"/>
          <w:szCs w:val="21"/>
          <w:highlight w:val="none"/>
          <w:lang w:val="en-US" w:eastAsia="zh-CN" w:bidi="ar-SA"/>
        </w:rPr>
        <w:t>中国政府采购网”“</w:t>
      </w:r>
      <w:r>
        <w:rPr>
          <w:rFonts w:hint="eastAsia" w:ascii="宋体" w:hAnsi="宋体" w:eastAsia="宋体" w:cs="宋体"/>
          <w:color w:val="auto"/>
          <w:sz w:val="21"/>
          <w:szCs w:val="21"/>
          <w:highlight w:val="none"/>
        </w:rPr>
        <w:t>江苏政府采购网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盐城市政府采购网”发布的招标文件为准。</w:t>
      </w:r>
    </w:p>
    <w:p w14:paraId="4CB9F2B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87" w:name="_Toc513029216"/>
      <w:bookmarkStart w:id="88" w:name="_Toc49090507"/>
      <w:bookmarkStart w:id="89" w:name="_Toc14577354"/>
      <w:bookmarkStart w:id="90" w:name="_Toc14577357"/>
      <w:bookmarkStart w:id="91" w:name="_Toc49090509"/>
      <w:bookmarkStart w:id="92" w:name="_Toc513029219"/>
      <w:bookmarkStart w:id="93" w:name="_Hlt26954838"/>
      <w:bookmarkStart w:id="94" w:name="_Hlt26668975"/>
      <w:bookmarkStart w:id="95" w:name="_Hlt26670360"/>
      <w:r>
        <w:rPr>
          <w:rFonts w:hint="eastAsia" w:ascii="宋体" w:hAnsi="宋体" w:eastAsia="宋体" w:cs="宋体"/>
          <w:color w:val="auto"/>
          <w:sz w:val="21"/>
          <w:szCs w:val="21"/>
          <w:highlight w:val="none"/>
        </w:rPr>
        <w:t>11、证明投标人及投标标的符合招标文件规定的文件</w:t>
      </w:r>
      <w:bookmarkEnd w:id="87"/>
      <w:bookmarkEnd w:id="88"/>
      <w:bookmarkEnd w:id="89"/>
      <w:bookmarkEnd w:id="90"/>
      <w:bookmarkEnd w:id="91"/>
      <w:bookmarkEnd w:id="92"/>
    </w:p>
    <w:p w14:paraId="329C424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96" w:name="_Toc49090508"/>
      <w:bookmarkStart w:id="97" w:name="_Toc14577355"/>
      <w:r>
        <w:rPr>
          <w:rFonts w:hint="eastAsia" w:ascii="宋体" w:hAnsi="宋体" w:eastAsia="宋体" w:cs="宋体"/>
          <w:color w:val="auto"/>
          <w:sz w:val="21"/>
          <w:szCs w:val="21"/>
          <w:highlight w:val="none"/>
        </w:rPr>
        <w:t>11.1投标人应按照法律、法规、规章和规范性文件以及招标文件要求提交证明文件，证明其及投标标的符合招标文件规定。</w:t>
      </w:r>
      <w:bookmarkEnd w:id="96"/>
      <w:bookmarkEnd w:id="97"/>
    </w:p>
    <w:p w14:paraId="79E3CE2E">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11.2招标文件对证明文件无明确形式要求的，证明文件可以以文字资料、图纸和数据等形式提交。</w:t>
      </w:r>
    </w:p>
    <w:p w14:paraId="58C50C2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12、投标分项报价</w:t>
      </w:r>
      <w:bookmarkStart w:id="98" w:name="_Hlt26670373"/>
      <w:r>
        <w:rPr>
          <w:rFonts w:hint="eastAsia" w:ascii="宋体" w:hAnsi="宋体" w:eastAsia="宋体" w:cs="宋体"/>
          <w:color w:val="auto"/>
          <w:sz w:val="21"/>
          <w:szCs w:val="21"/>
          <w:highlight w:val="none"/>
        </w:rPr>
        <w:t>表</w:t>
      </w:r>
    </w:p>
    <w:p w14:paraId="48E9C18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12.1投</w:t>
      </w:r>
      <w:bookmarkStart w:id="99" w:name="_Hlt26954840"/>
      <w:r>
        <w:rPr>
          <w:rFonts w:hint="eastAsia" w:ascii="宋体" w:hAnsi="宋体" w:eastAsia="宋体" w:cs="宋体"/>
          <w:color w:val="auto"/>
          <w:sz w:val="21"/>
          <w:szCs w:val="21"/>
          <w:highlight w:val="none"/>
        </w:rPr>
        <w:t>标人应按照招标文件规定格式填报投标分项报价表</w:t>
      </w:r>
      <w:bookmarkStart w:id="100" w:name="_Hlt26670399"/>
      <w:r>
        <w:rPr>
          <w:rFonts w:hint="eastAsia" w:ascii="宋体" w:hAnsi="宋体" w:eastAsia="宋体" w:cs="宋体"/>
          <w:color w:val="auto"/>
          <w:sz w:val="21"/>
          <w:szCs w:val="21"/>
          <w:highlight w:val="none"/>
        </w:rPr>
        <w:t>。</w:t>
      </w:r>
    </w:p>
    <w:p w14:paraId="17B5456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12.2投标货币。投标文件中的单价和总价无特殊规定的采用人民币报价，以元为单位标注。招标文件中另有规定的按规定执行。</w:t>
      </w:r>
    </w:p>
    <w:p w14:paraId="6245FC3C">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101" w:name="_Hlt26954731"/>
      <w:bookmarkStart w:id="102" w:name="_Hlt26954846"/>
      <w:bookmarkStart w:id="103" w:name="_Hlt26670403"/>
      <w:bookmarkStart w:id="104" w:name="_Hlt26954848"/>
      <w:bookmarkStart w:id="105" w:name="_Hlt26670482"/>
      <w:bookmarkStart w:id="106" w:name="_Hlt26668983"/>
      <w:bookmarkStart w:id="107" w:name="_Hlt26670425"/>
      <w:bookmarkStart w:id="108" w:name="_Hlt26954842"/>
      <w:bookmarkStart w:id="109" w:name="_Hlt26670486"/>
      <w:bookmarkStart w:id="110" w:name="_Hlt26954844"/>
      <w:r>
        <w:rPr>
          <w:rFonts w:hint="eastAsia" w:ascii="宋体" w:hAnsi="宋体" w:eastAsia="宋体" w:cs="宋体"/>
          <w:color w:val="auto"/>
          <w:sz w:val="21"/>
          <w:szCs w:val="21"/>
          <w:highlight w:val="none"/>
        </w:rPr>
        <w:t>13、技术要求响应及偏离表、商务要求响应及偏离表</w:t>
      </w:r>
    </w:p>
    <w:p w14:paraId="7F0A2143">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13.1投标人需对招标文件中的技术要求与商务要求逐项作出响应或偏离，并说明原因。</w:t>
      </w:r>
    </w:p>
    <w:p w14:paraId="36B88B0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13.2投标人可在投标文件中提供认为需要的其他技术文件或说明。</w:t>
      </w:r>
    </w:p>
    <w:p w14:paraId="1B1F86DC">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111" w:name="_Toc14577359"/>
      <w:bookmarkStart w:id="112" w:name="_Toc49090510"/>
      <w:r>
        <w:rPr>
          <w:rFonts w:hint="eastAsia" w:ascii="宋体" w:hAnsi="宋体" w:eastAsia="宋体" w:cs="宋体"/>
          <w:color w:val="auto"/>
          <w:sz w:val="21"/>
          <w:szCs w:val="21"/>
          <w:highlight w:val="none"/>
        </w:rPr>
        <w:t>14、投标函和开标一览表</w:t>
      </w:r>
      <w:bookmarkEnd w:id="111"/>
      <w:bookmarkEnd w:id="112"/>
    </w:p>
    <w:p w14:paraId="4259E713">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14.1投标人应按照招标文件中提供的格式完整、正确填写投标函、开标一览表。</w:t>
      </w:r>
    </w:p>
    <w:p w14:paraId="26C3C53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1"/>
          <w:szCs w:val="21"/>
          <w:highlight w:val="none"/>
        </w:rPr>
        <w:t>。</w:t>
      </w:r>
    </w:p>
    <w:p w14:paraId="4FBF5BD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113" w:name="_Toc14577360"/>
      <w:bookmarkStart w:id="114" w:name="_Toc49090511"/>
      <w:bookmarkStart w:id="115" w:name="_Hlt26954850"/>
      <w:bookmarkStart w:id="116" w:name="_Hlt26954734"/>
      <w:bookmarkStart w:id="117" w:name="_Hlt26670489"/>
      <w:r>
        <w:rPr>
          <w:rFonts w:hint="eastAsia" w:ascii="宋体" w:hAnsi="宋体" w:eastAsia="宋体" w:cs="宋体"/>
          <w:color w:val="auto"/>
          <w:sz w:val="21"/>
          <w:szCs w:val="21"/>
          <w:highlight w:val="none"/>
        </w:rPr>
        <w:t>15、投标有效期</w:t>
      </w:r>
      <w:bookmarkEnd w:id="113"/>
      <w:bookmarkEnd w:id="114"/>
    </w:p>
    <w:p w14:paraId="5212DDC7">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15.1投标有效期为</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规定的开标之日后</w:t>
      </w:r>
      <w:r>
        <w:rPr>
          <w:rFonts w:hint="eastAsia" w:ascii="宋体" w:hAnsi="宋体" w:eastAsia="宋体" w:cs="宋体"/>
          <w:b/>
          <w:color w:val="auto"/>
          <w:sz w:val="21"/>
          <w:szCs w:val="21"/>
          <w:highlight w:val="none"/>
          <w:u w:val="single"/>
          <w:lang w:val="en-US" w:eastAsia="zh-CN"/>
        </w:rPr>
        <w:t>九</w:t>
      </w:r>
      <w:r>
        <w:rPr>
          <w:rFonts w:hint="eastAsia" w:ascii="宋体" w:hAnsi="宋体" w:eastAsia="宋体" w:cs="宋体"/>
          <w:b/>
          <w:color w:val="auto"/>
          <w:sz w:val="21"/>
          <w:szCs w:val="21"/>
          <w:highlight w:val="none"/>
          <w:u w:val="single"/>
        </w:rPr>
        <w:t>十（</w:t>
      </w:r>
      <w:r>
        <w:rPr>
          <w:rFonts w:hint="eastAsia" w:ascii="宋体" w:hAnsi="宋体" w:eastAsia="宋体" w:cs="宋体"/>
          <w:b/>
          <w:color w:val="auto"/>
          <w:sz w:val="21"/>
          <w:szCs w:val="21"/>
          <w:highlight w:val="none"/>
          <w:u w:val="single"/>
          <w:lang w:val="en-US" w:eastAsia="zh-CN"/>
        </w:rPr>
        <w:t>9</w:t>
      </w:r>
      <w:r>
        <w:rPr>
          <w:rFonts w:hint="eastAsia" w:ascii="宋体" w:hAnsi="宋体" w:eastAsia="宋体" w:cs="宋体"/>
          <w:b/>
          <w:color w:val="auto"/>
          <w:sz w:val="21"/>
          <w:szCs w:val="21"/>
          <w:highlight w:val="none"/>
          <w:u w:val="single"/>
        </w:rPr>
        <w:t>0）天</w:t>
      </w:r>
      <w:r>
        <w:rPr>
          <w:rFonts w:hint="eastAsia" w:ascii="宋体" w:hAnsi="宋体" w:eastAsia="宋体" w:cs="宋体"/>
          <w:color w:val="auto"/>
          <w:sz w:val="21"/>
          <w:szCs w:val="21"/>
          <w:highlight w:val="none"/>
        </w:rPr>
        <w:t>。投标有效期比规定短的将被视为未实质性响应招标文件而予以拒绝。</w:t>
      </w:r>
    </w:p>
    <w:p w14:paraId="6602324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16、投标有效期的延长</w:t>
      </w:r>
    </w:p>
    <w:p w14:paraId="5F5FCA5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16.1在特殊情况下，</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于原投标有效期满之前，可向投标人提出延长投标有效期的要求。这种要求与答复均应采用书面形式。投标人可以拒绝</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的这一要求而放弃投标。同意延长投标有效期的投标人既不能要求也不允许修改其投标文件，同时受投标有效期约束的所有权利与义务均延长至新的有效期。</w:t>
      </w:r>
    </w:p>
    <w:p w14:paraId="1C627EE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2" w:firstLineChars="200"/>
        <w:jc w:val="both"/>
        <w:textAlignment w:val="auto"/>
        <w:rPr>
          <w:rFonts w:hint="eastAsia" w:ascii="宋体" w:hAnsi="宋体" w:eastAsia="宋体" w:cs="宋体"/>
          <w:color w:val="auto"/>
          <w:sz w:val="21"/>
          <w:szCs w:val="21"/>
          <w:highlight w:val="none"/>
        </w:rPr>
      </w:pPr>
      <w:bookmarkStart w:id="118" w:name="_Toc20823296"/>
      <w:bookmarkStart w:id="119" w:name="_Toc120614217"/>
      <w:bookmarkStart w:id="120" w:name="_Toc513029224"/>
      <w:bookmarkStart w:id="121" w:name="_Toc16938540"/>
      <w:bookmarkStart w:id="122" w:name="_Hlt26954739"/>
      <w:bookmarkStart w:id="123" w:name="_Hlt26954852"/>
      <w:r>
        <w:rPr>
          <w:rFonts w:hint="eastAsia" w:ascii="宋体" w:hAnsi="宋体" w:eastAsia="宋体" w:cs="宋体"/>
          <w:b/>
          <w:color w:val="auto"/>
          <w:sz w:val="21"/>
          <w:szCs w:val="21"/>
          <w:highlight w:val="none"/>
        </w:rPr>
        <w:t>四、投标文件的递交</w:t>
      </w:r>
      <w:bookmarkEnd w:id="118"/>
      <w:bookmarkEnd w:id="119"/>
      <w:bookmarkEnd w:id="120"/>
      <w:bookmarkEnd w:id="121"/>
    </w:p>
    <w:p w14:paraId="1D24EAFE">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124" w:name="_Toc20823297"/>
      <w:bookmarkStart w:id="125" w:name="_Toc462564084"/>
      <w:bookmarkStart w:id="126" w:name="_Toc513029225"/>
      <w:bookmarkStart w:id="127" w:name="_Toc16938541"/>
      <w:r>
        <w:rPr>
          <w:rFonts w:hint="eastAsia" w:ascii="宋体" w:hAnsi="宋体" w:eastAsia="宋体" w:cs="宋体"/>
          <w:color w:val="auto"/>
          <w:sz w:val="21"/>
          <w:szCs w:val="21"/>
          <w:highlight w:val="none"/>
        </w:rPr>
        <w:t>17、投标文件</w:t>
      </w:r>
      <w:bookmarkEnd w:id="124"/>
      <w:bookmarkEnd w:id="125"/>
      <w:bookmarkEnd w:id="126"/>
      <w:bookmarkEnd w:id="127"/>
      <w:r>
        <w:rPr>
          <w:rFonts w:hint="eastAsia" w:ascii="宋体" w:hAnsi="宋体" w:eastAsia="宋体" w:cs="宋体"/>
          <w:color w:val="auto"/>
          <w:sz w:val="21"/>
          <w:szCs w:val="21"/>
          <w:highlight w:val="none"/>
        </w:rPr>
        <w:t>的递交</w:t>
      </w:r>
    </w:p>
    <w:p w14:paraId="12ED26B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17.1电子投标文件的递交</w:t>
      </w:r>
    </w:p>
    <w:p w14:paraId="6FC79E92">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投标人应当按照《操作手册》规定，在投标截止时间前制作并上传电子投标文件。</w:t>
      </w:r>
      <w:bookmarkStart w:id="128" w:name="_Toc16938542"/>
      <w:bookmarkEnd w:id="128"/>
      <w:bookmarkStart w:id="129" w:name="_Toc20823298"/>
      <w:bookmarkEnd w:id="129"/>
      <w:bookmarkStart w:id="130" w:name="_Toc513029226"/>
    </w:p>
    <w:p w14:paraId="0D7D68EF">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18、投标截止时间</w:t>
      </w:r>
    </w:p>
    <w:p w14:paraId="3F570789">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i/>
          <w:color w:val="auto"/>
          <w:sz w:val="21"/>
          <w:szCs w:val="21"/>
          <w:highlight w:val="none"/>
          <w:u w:val="single"/>
        </w:rPr>
        <w:t>18.1投标人上传电子投标文件的时间不得迟于招标公告中规定的投标截止时间。</w:t>
      </w:r>
    </w:p>
    <w:p w14:paraId="58F5049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投标人应充分考虑到网络环境、网络带宽等风险因素，如因投标人自身原因造成的电子投标文件上传不成功的按照本招标文件第二章第26.1.2条 规定做无效投标处理。</w:t>
      </w:r>
    </w:p>
    <w:p w14:paraId="638AF19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18.2</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可以按照规定，通过修改招标文件酌情延长投标截止时间，在此情况下，投标人的所有权利和义务以及投标人受制的截止时间均应以延长后新的截止时间为准。</w:t>
      </w:r>
    </w:p>
    <w:p w14:paraId="7A78ABCB">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131" w:name="_Toc16938543"/>
      <w:bookmarkStart w:id="132" w:name="_Toc20823299"/>
      <w:bookmarkStart w:id="133" w:name="_Toc513029227"/>
      <w:r>
        <w:rPr>
          <w:rFonts w:hint="eastAsia" w:ascii="宋体" w:hAnsi="宋体" w:eastAsia="宋体" w:cs="宋体"/>
          <w:color w:val="auto"/>
          <w:sz w:val="21"/>
          <w:szCs w:val="21"/>
          <w:highlight w:val="none"/>
        </w:rPr>
        <w:t>19、投标文件</w:t>
      </w:r>
      <w:bookmarkEnd w:id="131"/>
      <w:bookmarkEnd w:id="132"/>
      <w:bookmarkEnd w:id="133"/>
      <w:r>
        <w:rPr>
          <w:rFonts w:hint="eastAsia" w:ascii="宋体" w:hAnsi="宋体" w:eastAsia="宋体" w:cs="宋体"/>
          <w:color w:val="auto"/>
          <w:sz w:val="21"/>
          <w:szCs w:val="21"/>
          <w:highlight w:val="none"/>
        </w:rPr>
        <w:t>的拒收</w:t>
      </w:r>
    </w:p>
    <w:p w14:paraId="3970C153">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拒绝接收在其规定的投标截止时间后上传的任何投标文件。</w:t>
      </w:r>
    </w:p>
    <w:p w14:paraId="1FA2715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134" w:name="_Toc513029228"/>
      <w:bookmarkStart w:id="135" w:name="_Toc16938544"/>
      <w:bookmarkStart w:id="136" w:name="_Toc20823300"/>
      <w:r>
        <w:rPr>
          <w:rFonts w:hint="eastAsia" w:ascii="宋体" w:hAnsi="宋体" w:eastAsia="宋体" w:cs="宋体"/>
          <w:color w:val="auto"/>
          <w:sz w:val="21"/>
          <w:szCs w:val="21"/>
          <w:highlight w:val="none"/>
        </w:rPr>
        <w:t>20、投标文件的撤回和修改</w:t>
      </w:r>
      <w:bookmarkEnd w:id="134"/>
      <w:bookmarkEnd w:id="135"/>
      <w:bookmarkEnd w:id="136"/>
    </w:p>
    <w:p w14:paraId="5EF20393">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20.1投标文件的撤回</w:t>
      </w:r>
    </w:p>
    <w:p w14:paraId="468EDA7C">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.1.1电子投标文件的撤回</w:t>
      </w:r>
    </w:p>
    <w:p w14:paraId="12A9CAE3">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投标人可在投标截止时间前，撤回其电子投标文件，具体操作方法见《操作手册》。</w:t>
      </w:r>
    </w:p>
    <w:p w14:paraId="729D9FC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.1.2投标人撤回电子投标文件，则认为其不再参与本项目投标活动。</w:t>
      </w:r>
    </w:p>
    <w:p w14:paraId="14953BE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20.2投标文件的修改</w:t>
      </w:r>
    </w:p>
    <w:p w14:paraId="39E4C77D">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20.2.1投标人可在投标截止时间前，对其电子投标文件进行修改，具体操作方法见《操作手册》。</w:t>
      </w:r>
    </w:p>
    <w:p w14:paraId="23F7BD9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20.2.2在投标截止时间之后，投标人不得对其电子投标文件作任何修改。</w:t>
      </w:r>
    </w:p>
    <w:p w14:paraId="043429BB">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20.3在投标截止时间至招标文件中规定的投标有效期满之间的这段时间内，投标人不得撤回其投标。</w:t>
      </w:r>
    </w:p>
    <w:p w14:paraId="0FCC1031">
      <w:pPr>
        <w:keepNext w:val="0"/>
        <w:keepLines w:val="0"/>
        <w:pageBreakBefore w:val="0"/>
        <w:widowControl/>
        <w:suppressLineNumbers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 w:val="21"/>
          <w:szCs w:val="21"/>
          <w:highlight w:val="none"/>
        </w:rPr>
      </w:pPr>
      <w:bookmarkStart w:id="137" w:name="_Toc20823301"/>
      <w:bookmarkStart w:id="138" w:name="_Toc16938545"/>
      <w:bookmarkStart w:id="139" w:name="_Toc120614218"/>
      <w:bookmarkStart w:id="140" w:name="_Toc513029229"/>
      <w:r>
        <w:rPr>
          <w:rFonts w:hint="eastAsia" w:ascii="宋体" w:hAnsi="宋体" w:eastAsia="宋体" w:cs="宋体"/>
          <w:b/>
          <w:color w:val="auto"/>
          <w:sz w:val="21"/>
          <w:szCs w:val="21"/>
          <w:highlight w:val="none"/>
        </w:rPr>
        <w:t>五、开标与评标</w:t>
      </w:r>
      <w:bookmarkEnd w:id="137"/>
      <w:bookmarkEnd w:id="138"/>
      <w:bookmarkEnd w:id="139"/>
      <w:bookmarkEnd w:id="140"/>
    </w:p>
    <w:p w14:paraId="24EA2F7F">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141" w:name="_Toc16938546"/>
      <w:bookmarkStart w:id="142" w:name="_Toc20823302"/>
      <w:bookmarkStart w:id="143" w:name="_Toc513029230"/>
      <w:r>
        <w:rPr>
          <w:rFonts w:hint="eastAsia" w:ascii="宋体" w:hAnsi="宋体" w:eastAsia="宋体" w:cs="宋体"/>
          <w:color w:val="auto"/>
          <w:sz w:val="21"/>
          <w:szCs w:val="21"/>
          <w:highlight w:val="none"/>
        </w:rPr>
        <w:t>21、开标</w:t>
      </w:r>
      <w:bookmarkEnd w:id="141"/>
      <w:bookmarkEnd w:id="142"/>
      <w:bookmarkEnd w:id="143"/>
    </w:p>
    <w:p w14:paraId="5CC516BC">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将在招标公告中规定的时间和地点组织公开开标。投标人应当按照《操作手册》规定，参加开标活动和在苏采云系统规定的时间内对投标文件进行解密。</w:t>
      </w:r>
    </w:p>
    <w:p w14:paraId="6CFCBDC9">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21.2开标仪式由</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组织。苏采云系统将自动对项目进行开标，并宣布各投标人名称和投标价格。</w:t>
      </w:r>
    </w:p>
    <w:p w14:paraId="74EA1723">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21.3投标人在开标过程中涉及到的投标文件解密、开标结果确认等工作，应按照《操作手册》规定执行。</w:t>
      </w:r>
    </w:p>
    <w:p w14:paraId="44E2B17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21.4投标人如果对开标过程和开标记录有疑义，应当根据《操作手册》规定提出，如苏采云系统中《开标记录表》宣布后5分钟内未提出的，视同认可开标结果。</w:t>
      </w:r>
    </w:p>
    <w:p w14:paraId="219EDDC3">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144" w:name="_Toc513029231"/>
      <w:bookmarkStart w:id="145" w:name="_Toc16938547"/>
      <w:bookmarkStart w:id="146" w:name="_Toc20823303"/>
      <w:r>
        <w:rPr>
          <w:rFonts w:hint="eastAsia" w:ascii="宋体" w:hAnsi="宋体" w:eastAsia="宋体" w:cs="宋体"/>
          <w:color w:val="auto"/>
          <w:sz w:val="21"/>
          <w:szCs w:val="21"/>
          <w:highlight w:val="none"/>
        </w:rPr>
        <w:t>22、评标委员会</w:t>
      </w:r>
      <w:bookmarkEnd w:id="144"/>
      <w:bookmarkEnd w:id="145"/>
      <w:bookmarkEnd w:id="146"/>
    </w:p>
    <w:p w14:paraId="5F1E4CE7">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22.1开标后，</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将立即组织评标委员会（以下简称评委会）进行评标。</w:t>
      </w:r>
    </w:p>
    <w:p w14:paraId="42CF09A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22.2评委会由采购人代表和有关技术、经济等方面的专家组成，且人员构成符合政府采购有关规定。</w:t>
      </w:r>
    </w:p>
    <w:p w14:paraId="35130EBE">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22.3评委会独立工作，负责评审所有投标文件并确定中标</w:t>
      </w:r>
      <w:r>
        <w:rPr>
          <w:rFonts w:hint="eastAsia" w:ascii="宋体" w:hAnsi="宋体" w:eastAsia="宋体" w:cs="宋体"/>
          <w:color w:val="auto"/>
          <w:sz w:val="21"/>
          <w:szCs w:val="21"/>
          <w:highlight w:val="none"/>
          <w:lang w:eastAsia="zh-CN"/>
        </w:rPr>
        <w:t>候选人</w:t>
      </w:r>
      <w:r>
        <w:rPr>
          <w:rFonts w:hint="eastAsia" w:ascii="宋体" w:hAnsi="宋体" w:eastAsia="宋体" w:cs="宋体"/>
          <w:color w:val="auto"/>
          <w:sz w:val="21"/>
          <w:szCs w:val="21"/>
          <w:highlight w:val="none"/>
        </w:rPr>
        <w:t>。</w:t>
      </w:r>
    </w:p>
    <w:p w14:paraId="1EA8A369">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23、评标过程的保密与公正</w:t>
      </w:r>
    </w:p>
    <w:p w14:paraId="4EEF1FCE">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23.1凡是与审查、澄清、评价和比较投标的有关资料以及授标建议等，采购人、评委、</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均不得向投标人或与评标无关的其他人员透露。</w:t>
      </w:r>
    </w:p>
    <w:p w14:paraId="31A71E59">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23.2在评标过程中，投标人不得以任何行为影响评标过程，否则其投标文件将被作为无效投标文件。</w:t>
      </w:r>
    </w:p>
    <w:p w14:paraId="68C60F3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和评标委员会不向未中标的投标人解释未中标原因，也不公布评标过程中的相关细节。</w:t>
      </w:r>
    </w:p>
    <w:p w14:paraId="629341CC">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23.4采用综合评分法的项目，未中标的投标人可于中标结果公告期限届满之日起通过苏采云系统查看自己的评审得分及排序情况。</w:t>
      </w:r>
    </w:p>
    <w:p w14:paraId="396C3807">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147" w:name="_Toc513029232"/>
      <w:bookmarkStart w:id="148" w:name="_Toc16938548"/>
      <w:bookmarkStart w:id="149" w:name="_Toc20823304"/>
      <w:r>
        <w:rPr>
          <w:rFonts w:hint="eastAsia" w:ascii="宋体" w:hAnsi="宋体" w:eastAsia="宋体" w:cs="宋体"/>
          <w:color w:val="auto"/>
          <w:sz w:val="21"/>
          <w:szCs w:val="21"/>
          <w:highlight w:val="none"/>
        </w:rPr>
        <w:t>24、投标文件的澄清</w:t>
      </w:r>
      <w:bookmarkEnd w:id="147"/>
      <w:bookmarkEnd w:id="148"/>
      <w:bookmarkEnd w:id="149"/>
    </w:p>
    <w:p w14:paraId="6784227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24.1评标期间，评委会对投标文件中含义不明确、同类问题表述不一致或者有明显文字和计算错误的内容 ，有权要求投标人作出必要的澄清、说明或者补正。</w:t>
      </w:r>
    </w:p>
    <w:p w14:paraId="199612B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投标人的澄清、说明或者补正不得超出投标文件的范围或者改变投标文件的实质性内容。</w:t>
      </w:r>
    </w:p>
    <w:p w14:paraId="1897076F">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评标委员会并非对每个投标人都做澄清要求。</w:t>
      </w:r>
    </w:p>
    <w:p w14:paraId="27D02EAE">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66B30FB">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24.3接到评委会澄清、说明和补正要求的投标人如未按规定</w:t>
      </w:r>
      <w:r>
        <w:rPr>
          <w:rFonts w:hint="eastAsia" w:ascii="宋体" w:hAnsi="宋体" w:eastAsia="宋体" w:cs="宋体"/>
          <w:color w:val="auto"/>
          <w:sz w:val="21"/>
          <w:szCs w:val="21"/>
          <w:highlight w:val="none"/>
          <w:lang w:eastAsia="zh-CN"/>
        </w:rPr>
        <w:t>作出</w:t>
      </w:r>
      <w:r>
        <w:rPr>
          <w:rFonts w:hint="eastAsia" w:ascii="宋体" w:hAnsi="宋体" w:eastAsia="宋体" w:cs="宋体"/>
          <w:color w:val="auto"/>
          <w:sz w:val="21"/>
          <w:szCs w:val="21"/>
          <w:highlight w:val="none"/>
        </w:rPr>
        <w:t>澄清、说明和补正，其风险由投标人自行承担。</w:t>
      </w:r>
    </w:p>
    <w:p w14:paraId="3721DE82">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150" w:name="_Toc20823305"/>
      <w:bookmarkStart w:id="151" w:name="_Toc16938549"/>
      <w:bookmarkStart w:id="152" w:name="_Toc513029233"/>
      <w:r>
        <w:rPr>
          <w:rFonts w:hint="eastAsia" w:ascii="宋体" w:hAnsi="宋体" w:eastAsia="宋体" w:cs="宋体"/>
          <w:color w:val="auto"/>
          <w:sz w:val="21"/>
          <w:szCs w:val="21"/>
          <w:highlight w:val="none"/>
        </w:rPr>
        <w:t>25、对投标文件的初审</w:t>
      </w:r>
      <w:bookmarkEnd w:id="150"/>
      <w:bookmarkEnd w:id="151"/>
      <w:bookmarkEnd w:id="152"/>
    </w:p>
    <w:p w14:paraId="56388BB9">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25.1投标文件初审分为资格审查和符合性审查。</w:t>
      </w:r>
    </w:p>
    <w:p w14:paraId="5F806BF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25.1.1资格审查：依据法律法规和招标文件的规定，由采购人对投标文件中的资格证明文件进行审查。资格审查的结论，采购人以书面形式向评委会进行反馈。</w:t>
      </w:r>
    </w:p>
    <w:p w14:paraId="60755C0D">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采购人在进行资格性审查的同时，将在“信用中国”网站（www.creditchina.gov.cn）查询投标人的信用记录，以确定投标人是否具备投标资格,查询结果留存并归档。</w:t>
      </w:r>
    </w:p>
    <w:p w14:paraId="3F89A87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D49A50F">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25.1.2符合性审查：依据招标文件的规定，由评委会从投标文件的有效性、完整性和对招标文件的响应程度进行审查，以确定是否对招标文件的实质性要求作出响应。</w:t>
      </w:r>
    </w:p>
    <w:p w14:paraId="3F505CD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25.1.3未通过资格审查或符合性审查的投标人，</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将在苏采云系统中告知未通过资格审查或符合性审查的原因，评标结束后，</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将不再告知未通过资格审查和符合性审查的原因。</w:t>
      </w:r>
    </w:p>
    <w:p w14:paraId="0002803F">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0DFB705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1E3A69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25.3如果投标文件实质上没有响应招标文件的要求，评委会将予以拒绝，投标人不得通过修改或撤销不合要求的偏离或保留而使其投标成为实质性响应的投标。</w:t>
      </w:r>
    </w:p>
    <w:p w14:paraId="012013A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25.4评委会将对确定为实质性响应的投标进行进一步审核，确定其是否有计算上或累加上的算术错误，修正错误的原则如下：</w:t>
      </w:r>
    </w:p>
    <w:p w14:paraId="14A1F84B">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（1）投标文件中开标一览表内容与投标文件中相应内容不一致的，以开标一览表为准。</w:t>
      </w:r>
    </w:p>
    <w:p w14:paraId="4FCBD9F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（2）大写金额和小写金额不一致的，以大写金额为准。</w:t>
      </w:r>
    </w:p>
    <w:p w14:paraId="5C9AD39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（3）单价金额小数点或者百分比有明显错位的，以开标一览表的总价为准，并修改单价。</w:t>
      </w:r>
    </w:p>
    <w:p w14:paraId="4235C6CD">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（4）总价金额与按单价汇总金额不一致的，以单价金额计算结果为准。</w:t>
      </w:r>
    </w:p>
    <w:p w14:paraId="03BB648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同时出现两种以上错误的，按照前款规定的顺序修正。</w:t>
      </w:r>
    </w:p>
    <w:p w14:paraId="4EE1343C">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4BB2A04B">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153" w:name="_Toc16938550"/>
      <w:bookmarkStart w:id="154" w:name="_Toc20823306"/>
      <w:bookmarkStart w:id="155" w:name="_Toc513029234"/>
      <w:r>
        <w:rPr>
          <w:rFonts w:hint="eastAsia" w:ascii="宋体" w:hAnsi="宋体" w:eastAsia="宋体" w:cs="宋体"/>
          <w:color w:val="auto"/>
          <w:sz w:val="21"/>
          <w:szCs w:val="21"/>
          <w:highlight w:val="none"/>
        </w:rPr>
        <w:t>25.6投标人在开、评标全过程中应</w:t>
      </w:r>
      <w:r>
        <w:rPr>
          <w:rFonts w:hint="eastAsia" w:ascii="宋体" w:hAnsi="宋体" w:eastAsia="宋体" w:cs="宋体"/>
          <w:color w:val="auto"/>
          <w:sz w:val="21"/>
          <w:szCs w:val="21"/>
          <w:highlight w:val="none"/>
          <w:lang w:eastAsia="zh-CN"/>
        </w:rPr>
        <w:t>保持通信畅通</w:t>
      </w:r>
      <w:r>
        <w:rPr>
          <w:rFonts w:hint="eastAsia" w:ascii="宋体" w:hAnsi="宋体" w:eastAsia="宋体" w:cs="宋体"/>
          <w:color w:val="auto"/>
          <w:sz w:val="21"/>
          <w:szCs w:val="21"/>
          <w:highlight w:val="none"/>
        </w:rPr>
        <w:t>，及时登录苏采云系统查阅、答复相关信息，并安排专人与</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及评标委员会联系。</w:t>
      </w:r>
      <w:bookmarkEnd w:id="153"/>
      <w:bookmarkEnd w:id="154"/>
      <w:bookmarkEnd w:id="155"/>
    </w:p>
    <w:p w14:paraId="6B01C0E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26、无效投标条款和废标条款</w:t>
      </w:r>
    </w:p>
    <w:p w14:paraId="0835017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156" w:name="_Toc513029235"/>
      <w:bookmarkStart w:id="157" w:name="_Toc16938551"/>
      <w:bookmarkStart w:id="158" w:name="_Toc20823307"/>
      <w:r>
        <w:rPr>
          <w:rFonts w:hint="eastAsia" w:ascii="宋体" w:hAnsi="宋体" w:eastAsia="宋体" w:cs="宋体"/>
          <w:color w:val="auto"/>
          <w:sz w:val="21"/>
          <w:szCs w:val="21"/>
          <w:highlight w:val="none"/>
        </w:rPr>
        <w:t>26.1无效投标条款</w:t>
      </w:r>
      <w:bookmarkEnd w:id="156"/>
      <w:bookmarkEnd w:id="157"/>
      <w:bookmarkEnd w:id="158"/>
    </w:p>
    <w:p w14:paraId="66E9745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26.1.1投标人在苏采云系统规定的时间内未成功解密电子投标文件的。</w:t>
      </w:r>
    </w:p>
    <w:p w14:paraId="6B34BF1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26.1.2投标人未按照招标文件要求上传电子投标文件的。</w:t>
      </w:r>
    </w:p>
    <w:p w14:paraId="1B04B3B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26.1.3同一投标人提交两个（含两个）以上不同的投标报价的。</w:t>
      </w:r>
    </w:p>
    <w:p w14:paraId="11730DD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26.1.4投标人不具备招标文件中规定资格要求的。</w:t>
      </w:r>
    </w:p>
    <w:p w14:paraId="506BCF5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26.1.5投标人的报价超过了采购预算或最高限价的。</w:t>
      </w:r>
    </w:p>
    <w:p w14:paraId="2C70D909">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26.1.6未通过符合性审查的。</w:t>
      </w:r>
    </w:p>
    <w:p w14:paraId="32858C32">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26.1.7不符合招标文件中规定的实质性要求和条件的（</w:t>
      </w:r>
      <w:r>
        <w:rPr>
          <w:rFonts w:hint="eastAsia" w:ascii="宋体" w:hAnsi="宋体" w:eastAsia="宋体" w:cs="宋体"/>
          <w:i/>
          <w:color w:val="auto"/>
          <w:sz w:val="21"/>
          <w:szCs w:val="21"/>
          <w:highlight w:val="none"/>
          <w:u w:val="single"/>
        </w:rPr>
        <w:t>本招标文件中斜体且有下划线部分为实质性要求和条件）。</w:t>
      </w:r>
    </w:p>
    <w:p w14:paraId="570A467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26.1.8投标人被“信用中国”网站（www.creditchina.gov.cn）列入失信被执行人或重大税收违法</w:t>
      </w:r>
      <w:r>
        <w:rPr>
          <w:rFonts w:hint="eastAsia" w:ascii="宋体" w:hAnsi="宋体" w:eastAsia="宋体" w:cs="宋体"/>
          <w:color w:val="auto"/>
          <w:sz w:val="21"/>
          <w:szCs w:val="21"/>
          <w:highlight w:val="none"/>
          <w:lang w:eastAsia="zh-CN"/>
        </w:rPr>
        <w:t>失信主体</w:t>
      </w:r>
      <w:r>
        <w:rPr>
          <w:rFonts w:hint="eastAsia" w:ascii="宋体" w:hAnsi="宋体" w:eastAsia="宋体" w:cs="宋体"/>
          <w:color w:val="auto"/>
          <w:sz w:val="21"/>
          <w:szCs w:val="21"/>
          <w:highlight w:val="none"/>
        </w:rPr>
        <w:t>名单或政府采购严重失信行为记录名单。或查询“信用中国”网站后发现投标人存在其他不符合《中华人民共和国政府采购法》第二十二条规定条件的信用记录。</w:t>
      </w:r>
    </w:p>
    <w:p w14:paraId="2A19481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26.1.9投标文件含有采购人不能接受的附加条件的。</w:t>
      </w:r>
    </w:p>
    <w:p w14:paraId="4C8E454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26.1.10投标人不能证明其报价合理性的，评</w:t>
      </w:r>
      <w:r>
        <w:rPr>
          <w:rFonts w:hint="eastAsia" w:ascii="宋体" w:hAnsi="宋体" w:eastAsia="宋体" w:cs="宋体"/>
          <w:color w:val="auto"/>
          <w:sz w:val="21"/>
          <w:szCs w:val="21"/>
          <w:highlight w:val="none"/>
          <w:lang w:val="en-US" w:eastAsia="zh-CN"/>
        </w:rPr>
        <w:t>标</w:t>
      </w:r>
      <w:r>
        <w:rPr>
          <w:rFonts w:hint="eastAsia" w:ascii="宋体" w:hAnsi="宋体" w:eastAsia="宋体" w:cs="宋体"/>
          <w:color w:val="auto"/>
          <w:sz w:val="21"/>
          <w:szCs w:val="21"/>
          <w:highlight w:val="none"/>
        </w:rPr>
        <w:t>委员会应当将其作为无效投标处理。</w:t>
      </w:r>
    </w:p>
    <w:p w14:paraId="7A5DD990">
      <w:pPr>
        <w:pStyle w:val="19"/>
        <w:spacing w:beforeAutospacing="0" w:afterAutospacing="0" w:line="348" w:lineRule="auto"/>
        <w:ind w:firstLine="420"/>
        <w:jc w:val="both"/>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（一）评审过程中出现下列情形之一的，评标委员会应当启动异常低价投标审查程序：</w:t>
      </w:r>
    </w:p>
    <w:p w14:paraId="0594DE79">
      <w:pPr>
        <w:pStyle w:val="19"/>
        <w:spacing w:beforeAutospacing="0" w:afterAutospacing="0" w:line="348" w:lineRule="auto"/>
        <w:ind w:firstLine="420"/>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1.投标（响应）报价低于全部通过符合性审查供应商投标（响应）报价平均值65%的，即投标（响应）报价&lt;全部通过符合性审查供应商投标（响应）报价平均值×65%；</w:t>
      </w:r>
    </w:p>
    <w:p w14:paraId="6768C3F1">
      <w:pPr>
        <w:pStyle w:val="19"/>
        <w:spacing w:beforeAutospacing="0" w:afterAutospacing="0" w:line="348" w:lineRule="auto"/>
        <w:ind w:firstLine="420"/>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2.投标（响应）报价低于通过符合性审查的次低报价供应商投标（响应）报价65%的，即投标（响应）报价&lt;通过符合性审查的次低报价供应商投标（响应）报价×65%；</w:t>
      </w:r>
    </w:p>
    <w:p w14:paraId="4A6966FC">
      <w:pPr>
        <w:pStyle w:val="19"/>
        <w:spacing w:beforeAutospacing="0" w:afterAutospacing="0" w:line="348" w:lineRule="auto"/>
        <w:ind w:firstLine="420"/>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3.投标（响应）报价低于采购项目最高限价65%的，即投标（响应）报价&lt;采购项目最高限价×65%；</w:t>
      </w:r>
    </w:p>
    <w:p w14:paraId="2A981812">
      <w:pPr>
        <w:pStyle w:val="19"/>
        <w:spacing w:beforeAutospacing="0" w:afterAutospacing="0" w:line="348" w:lineRule="auto"/>
        <w:ind w:firstLine="420"/>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4.评审委员会基于专业判断，认为供应商报价过低，有可能影响产品质量或者不能诚信履约的其他情形。</w:t>
      </w:r>
    </w:p>
    <w:p w14:paraId="277C6130">
      <w:pPr>
        <w:pStyle w:val="19"/>
        <w:spacing w:beforeAutospacing="0" w:afterAutospacing="0" w:line="348" w:lineRule="auto"/>
        <w:ind w:firstLine="420"/>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相关法律法规对供应商报价有规定的，从其规定。</w:t>
      </w:r>
    </w:p>
    <w:p w14:paraId="6EE5E85F">
      <w:pPr>
        <w:pStyle w:val="19"/>
        <w:spacing w:beforeAutospacing="0" w:afterAutospacing="0" w:line="348" w:lineRule="auto"/>
        <w:ind w:firstLine="420"/>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0DCC9D9">
      <w:pPr>
        <w:pStyle w:val="19"/>
        <w:spacing w:beforeAutospacing="0" w:afterAutospacing="0" w:line="348" w:lineRule="auto"/>
        <w:ind w:firstLine="420"/>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FFDFFF9">
      <w:pPr>
        <w:pStyle w:val="19"/>
        <w:spacing w:beforeAutospacing="0" w:afterAutospacing="0" w:line="348" w:lineRule="auto"/>
        <w:ind w:firstLine="420"/>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FE7377D">
      <w:pPr>
        <w:keepNext w:val="0"/>
        <w:keepLines w:val="0"/>
        <w:pageBreakBefore w:val="0"/>
        <w:widowControl/>
        <w:suppressLineNumbers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00664F1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26.1.11投标文件未按照招标文件要求加盖CA电子公章的。</w:t>
      </w:r>
    </w:p>
    <w:p w14:paraId="1894639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26.1.12其他法律、法规及本招标文件规定的属无效投标的情形。</w:t>
      </w:r>
    </w:p>
    <w:p w14:paraId="415B314F">
      <w:pPr>
        <w:pStyle w:val="7"/>
        <w:pageBreakBefore w:val="0"/>
        <w:kinsoku/>
        <w:wordWrap/>
        <w:overflowPunct/>
        <w:topLinePunct w:val="0"/>
        <w:autoSpaceDE/>
        <w:autoSpaceDN/>
        <w:bidi w:val="0"/>
        <w:adjustRightInd/>
        <w:snapToGrid/>
        <w:spacing w:beforeAutospacing="0" w:afterAutospacing="0" w:line="360" w:lineRule="auto"/>
        <w:ind w:left="479"/>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26.2废标条款</w:t>
      </w:r>
    </w:p>
    <w:p w14:paraId="08EF508D">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26.2.1符合专业条件的供应商或者对招标文件作实质响应的供应商不足三家的。</w:t>
      </w:r>
    </w:p>
    <w:p w14:paraId="353F319C">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26.2.2出现影响采购公正的违法、违规行为的。</w:t>
      </w:r>
    </w:p>
    <w:p w14:paraId="4798FAA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26.2.3因重大变故，采购任务取消的。</w:t>
      </w:r>
    </w:p>
    <w:p w14:paraId="0D695993">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26.2.4评标委员会认定招标文件存在歧义、重大缺陷导致评审工作无法进行。</w:t>
      </w:r>
    </w:p>
    <w:p w14:paraId="3C45191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26.2.5因苏采云系统系统故障原因造成开标不成功的。</w:t>
      </w:r>
    </w:p>
    <w:p w14:paraId="64B84B5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26.3投标截止时间结束后参加投标的供应商不足三家的处理：</w:t>
      </w:r>
    </w:p>
    <w:p w14:paraId="1F9A942D">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26.3.1如出现投标截止时间结束后参加投标的供应商或者在评标期间对招标文件做出实质响应的供应商不足三家情况，按政府采购相关规定执行。</w:t>
      </w:r>
    </w:p>
    <w:p w14:paraId="1A0A213B">
      <w:pPr>
        <w:keepNext w:val="0"/>
        <w:keepLines w:val="0"/>
        <w:pageBreakBefore w:val="0"/>
        <w:widowControl/>
        <w:suppressLineNumbers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 w:val="21"/>
          <w:szCs w:val="21"/>
          <w:highlight w:val="none"/>
        </w:rPr>
      </w:pPr>
      <w:bookmarkStart w:id="159" w:name="_Toc120614219"/>
      <w:r>
        <w:rPr>
          <w:rFonts w:hint="eastAsia" w:ascii="宋体" w:hAnsi="宋体" w:eastAsia="宋体" w:cs="宋体"/>
          <w:b/>
          <w:color w:val="auto"/>
          <w:sz w:val="21"/>
          <w:szCs w:val="21"/>
          <w:highlight w:val="none"/>
        </w:rPr>
        <w:t>六、定标</w:t>
      </w:r>
      <w:bookmarkEnd w:id="159"/>
    </w:p>
    <w:p w14:paraId="32A31A1C">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160" w:name="_Toc20823310"/>
      <w:bookmarkStart w:id="161" w:name="_Toc16938554"/>
      <w:bookmarkStart w:id="162" w:name="_Toc513029238"/>
      <w:r>
        <w:rPr>
          <w:rFonts w:hint="eastAsia" w:ascii="宋体" w:hAnsi="宋体" w:eastAsia="宋体" w:cs="宋体"/>
          <w:color w:val="auto"/>
          <w:sz w:val="21"/>
          <w:szCs w:val="21"/>
          <w:highlight w:val="none"/>
        </w:rPr>
        <w:t>27、</w:t>
      </w:r>
      <w:bookmarkEnd w:id="160"/>
      <w:r>
        <w:rPr>
          <w:rFonts w:hint="eastAsia" w:ascii="宋体" w:hAnsi="宋体" w:eastAsia="宋体" w:cs="宋体"/>
          <w:color w:val="auto"/>
          <w:sz w:val="21"/>
          <w:szCs w:val="21"/>
          <w:highlight w:val="none"/>
        </w:rPr>
        <w:t>确定</w:t>
      </w:r>
      <w:bookmarkEnd w:id="161"/>
      <w:bookmarkEnd w:id="162"/>
      <w:r>
        <w:rPr>
          <w:rFonts w:hint="eastAsia" w:ascii="宋体" w:hAnsi="宋体" w:eastAsia="宋体" w:cs="宋体"/>
          <w:color w:val="auto"/>
          <w:sz w:val="21"/>
          <w:szCs w:val="21"/>
          <w:highlight w:val="none"/>
        </w:rPr>
        <w:t>中标单位</w:t>
      </w:r>
    </w:p>
    <w:p w14:paraId="1A3F4A0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27.1中标候选人的选取原则和数量见招标文件第五章规定。</w:t>
      </w:r>
    </w:p>
    <w:p w14:paraId="7963F52A">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27.2采购人应根据评委会推荐的中标候选人确定中标人。</w:t>
      </w:r>
    </w:p>
    <w:p w14:paraId="2E0818C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27.3</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将在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中国政府采购网”“</w:t>
      </w:r>
      <w:r>
        <w:rPr>
          <w:rFonts w:hint="eastAsia" w:ascii="宋体" w:hAnsi="宋体" w:eastAsia="宋体" w:cs="宋体"/>
          <w:color w:val="auto"/>
          <w:sz w:val="21"/>
          <w:szCs w:val="21"/>
          <w:highlight w:val="none"/>
        </w:rPr>
        <w:t>江苏政府采购网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盐城市政府采购网”发布中标公告，公告期限为1个工作日。</w:t>
      </w:r>
    </w:p>
    <w:p w14:paraId="3F32F6D7">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27.4若有充分证据证明，中标人出现下列情况之一的，一经查实，将被取消中标资格：</w:t>
      </w:r>
    </w:p>
    <w:p w14:paraId="2166112C">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27.4.1提供虚假材料谋取中标的。</w:t>
      </w:r>
    </w:p>
    <w:p w14:paraId="436C531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27.4.2向采购人、</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行贿或者提供其他不正当利益的。</w:t>
      </w:r>
    </w:p>
    <w:p w14:paraId="3A4CA4BA">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27.4.3属于本文件规定的无效条件，但在评标过程中又未被评委会发现的。</w:t>
      </w:r>
    </w:p>
    <w:p w14:paraId="65A5FA4A">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27.4.4与采购人或者其他供应商恶意串通的。</w:t>
      </w:r>
    </w:p>
    <w:p w14:paraId="643A590F">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27.4.5采取不正当手段诋毁、排挤其他供应商的。</w:t>
      </w:r>
    </w:p>
    <w:p w14:paraId="4FC0CE2C">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163" w:name="_Toc200451960"/>
      <w:r>
        <w:rPr>
          <w:rFonts w:hint="eastAsia" w:ascii="宋体" w:hAnsi="宋体" w:eastAsia="宋体" w:cs="宋体"/>
          <w:color w:val="auto"/>
          <w:sz w:val="21"/>
          <w:szCs w:val="21"/>
          <w:highlight w:val="none"/>
        </w:rPr>
        <w:t>27.5 有下列情形之一的，视为投标人串通投标，投标无效：</w:t>
      </w:r>
      <w:bookmarkEnd w:id="163"/>
    </w:p>
    <w:p w14:paraId="7A22000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27.5.1不同投标人的投标文件由同一单位或者个人编制。</w:t>
      </w:r>
    </w:p>
    <w:p w14:paraId="5913BC4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27.5.2不同投标人委托同一单位或者个人办理投标事宜。</w:t>
      </w:r>
    </w:p>
    <w:p w14:paraId="79AEE8C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27.5.3不同投标人的投标文件载明的项目管理成员或者联系人员为同一人。</w:t>
      </w:r>
    </w:p>
    <w:p w14:paraId="15FC037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27.5.4不同投标人的投标文件异常一致或者投标报价呈规律性差异。</w:t>
      </w:r>
    </w:p>
    <w:p w14:paraId="09F602BE">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28、质疑处理</w:t>
      </w:r>
    </w:p>
    <w:p w14:paraId="309F130F">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28.1提出质疑的供应商应当是参与所质疑项目采购活动的供应商。潜在供应商依法获取其可质疑的采购文件的，可以对采购文件提出质疑。</w:t>
      </w:r>
    </w:p>
    <w:p w14:paraId="767AAA6D">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或采购人提出质疑。上述应知其权益受到损害之日，是指：</w:t>
      </w:r>
    </w:p>
    <w:p w14:paraId="65D0C9CB">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28.2.1对可以质疑的采购文件提出质疑的，为收到采购文件之日或者采购文件公告期限届满之日；</w:t>
      </w:r>
    </w:p>
    <w:p w14:paraId="4FEC808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28.2.2对采购过程提出质疑的，为各采购程序环节结束之日；</w:t>
      </w:r>
    </w:p>
    <w:p w14:paraId="41D72C2E">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28.2.3对中标或者成交结果提出质疑的，为中标或者成交结果公告期限届满之日。</w:t>
      </w:r>
    </w:p>
    <w:p w14:paraId="7A4250B7">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、采购人将只对供应商第一次质疑作出答复。</w:t>
      </w:r>
    </w:p>
    <w:p w14:paraId="0B3EB50F">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70F9EC6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提出，由</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负责答复。</w:t>
      </w:r>
    </w:p>
    <w:p w14:paraId="1DCA4497">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代理机构及采购人只接收以纸质原件形式送达的质疑,采购人和代理机构不接受未填写快递运单的快件。</w:t>
      </w:r>
    </w:p>
    <w:p w14:paraId="2C41C68E">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28.5以下情形的质疑不予受理</w:t>
      </w:r>
    </w:p>
    <w:p w14:paraId="6F06514D">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28.5.1内容不符合《政府采购质疑和投诉办法》第十二条规定的质疑。</w:t>
      </w:r>
    </w:p>
    <w:p w14:paraId="210547AD">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28.5.2超出政府采购法定期限的质疑。</w:t>
      </w:r>
    </w:p>
    <w:p w14:paraId="7FD6CC2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28.5.3以传真、电子邮件等方式递交的非原件形式的质疑。</w:t>
      </w:r>
    </w:p>
    <w:p w14:paraId="2FF015A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28.5.4未参加投标活动的供应商或在投标活动中自身权益未受到损害的供应商所提出的质疑。</w:t>
      </w:r>
    </w:p>
    <w:p w14:paraId="5F47D49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28.5.5供应商组成联合体参加投标，联合体中任何一方或多方未按要求签字、盖章、加盖公章的质疑。</w:t>
      </w:r>
    </w:p>
    <w:p w14:paraId="59305EA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28.6供应商提出书面质疑必须有理、有据，不得捏造事实、提供虚假材料进行恶意质疑。否则，一经查实，</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有权依据政府采购的有关规定，报请政府采购监管部门对该供应商进行相应的行政处罚和记录该供应商的失信信息。</w:t>
      </w:r>
    </w:p>
    <w:p w14:paraId="6581862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29、中标通知书</w:t>
      </w:r>
    </w:p>
    <w:p w14:paraId="7764017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29.l中标结果确定后，</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544E4E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29.2中标通知书将是合同的一个组成部分。对采购人和中标人均具有法律效力。中标通知书发出后，采购人改变中标结果的，或者中标人放弃中标项目的，应当依法承担法律责任。</w:t>
      </w:r>
    </w:p>
    <w:p w14:paraId="5D7ECF64">
      <w:pPr>
        <w:keepNext w:val="0"/>
        <w:keepLines w:val="0"/>
        <w:pageBreakBefore w:val="0"/>
        <w:widowControl/>
        <w:suppressLineNumbers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 w:val="21"/>
          <w:szCs w:val="21"/>
          <w:highlight w:val="none"/>
        </w:rPr>
      </w:pPr>
      <w:bookmarkStart w:id="164" w:name="_Toc513029236"/>
      <w:bookmarkStart w:id="165" w:name="_Toc120614220"/>
      <w:bookmarkStart w:id="166" w:name="_Toc20823308"/>
      <w:bookmarkStart w:id="167" w:name="_Toc16938552"/>
      <w:r>
        <w:rPr>
          <w:rFonts w:hint="eastAsia" w:ascii="宋体" w:hAnsi="宋体" w:eastAsia="宋体" w:cs="宋体"/>
          <w:b/>
          <w:color w:val="auto"/>
          <w:sz w:val="21"/>
          <w:szCs w:val="21"/>
          <w:highlight w:val="none"/>
        </w:rPr>
        <w:t>七、授予合同</w:t>
      </w:r>
      <w:bookmarkEnd w:id="164"/>
      <w:bookmarkEnd w:id="165"/>
      <w:bookmarkEnd w:id="166"/>
      <w:bookmarkEnd w:id="167"/>
    </w:p>
    <w:p w14:paraId="4D050E6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168" w:name="_Toc16938553"/>
      <w:bookmarkStart w:id="169" w:name="_Toc513029237"/>
      <w:bookmarkStart w:id="170" w:name="_Toc20823309"/>
      <w:r>
        <w:rPr>
          <w:rFonts w:hint="eastAsia" w:ascii="宋体" w:hAnsi="宋体" w:eastAsia="宋体" w:cs="宋体"/>
          <w:color w:val="auto"/>
          <w:sz w:val="21"/>
          <w:szCs w:val="21"/>
          <w:highlight w:val="none"/>
        </w:rPr>
        <w:t>30.签订合同</w:t>
      </w:r>
      <w:bookmarkEnd w:id="168"/>
      <w:bookmarkEnd w:id="169"/>
      <w:bookmarkEnd w:id="170"/>
    </w:p>
    <w:p w14:paraId="211D9867">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30.l中标人应当在中标通知书发出之日起三十日内，按照招标文件确定的事项与采购人签订政府采购合同。</w:t>
      </w:r>
    </w:p>
    <w:p w14:paraId="414BD04A">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30.2招标文件、中标人的投标文件及招标过程中有关澄清、承诺文件均应作为合同附件。</w:t>
      </w:r>
    </w:p>
    <w:p w14:paraId="0B99F3FA">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30.3签订合同后，</w:t>
      </w:r>
      <w:r>
        <w:rPr>
          <w:rFonts w:hint="eastAsia" w:ascii="宋体" w:hAnsi="宋体" w:eastAsia="宋体" w:cs="宋体"/>
          <w:i/>
          <w:color w:val="auto"/>
          <w:sz w:val="21"/>
          <w:szCs w:val="21"/>
          <w:highlight w:val="none"/>
          <w:u w:val="single"/>
        </w:rPr>
        <w:t>中标人不得将合同标的进行转包</w:t>
      </w:r>
      <w:r>
        <w:rPr>
          <w:rFonts w:hint="eastAsia" w:ascii="宋体" w:hAnsi="宋体" w:eastAsia="宋体" w:cs="宋体"/>
          <w:color w:val="auto"/>
          <w:sz w:val="21"/>
          <w:szCs w:val="21"/>
          <w:highlight w:val="none"/>
        </w:rPr>
        <w:t>。未经采购人同意，中标人也不得采用分包的形式履行合同，否则采购人有权终止合同。转包或分包造成采购人损失的，中标人应承担相应赔偿责任。</w:t>
      </w:r>
    </w:p>
    <w:p w14:paraId="6B3D72B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31、服务（包含与服务相关的货物）的追加</w:t>
      </w:r>
    </w:p>
    <w:p w14:paraId="13E120E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0CDC7F59">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32.政府采购政策功能落实</w:t>
      </w:r>
    </w:p>
    <w:p w14:paraId="248CF83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32.1</w:t>
      </w:r>
      <w:r>
        <w:rPr>
          <w:rFonts w:hint="eastAsia" w:ascii="宋体" w:hAnsi="宋体" w:eastAsia="宋体" w:cs="宋体"/>
          <w:color w:val="auto"/>
          <w:sz w:val="21"/>
          <w:szCs w:val="21"/>
          <w:highlight w:val="none"/>
        </w:rPr>
        <w:t>政府采购</w:t>
      </w:r>
      <w:r>
        <w:rPr>
          <w:rFonts w:hint="eastAsia" w:ascii="宋体" w:hAnsi="宋体" w:eastAsia="宋体" w:cs="宋体"/>
          <w:color w:val="auto"/>
          <w:sz w:val="21"/>
          <w:szCs w:val="21"/>
          <w:highlight w:val="none"/>
          <w:lang w:eastAsia="zh-CN"/>
        </w:rPr>
        <w:t>线上合同信用融资</w:t>
      </w:r>
      <w:r>
        <w:rPr>
          <w:rFonts w:hint="eastAsia" w:ascii="宋体" w:hAnsi="宋体" w:eastAsia="宋体" w:cs="宋体"/>
          <w:color w:val="auto"/>
          <w:sz w:val="21"/>
          <w:szCs w:val="21"/>
          <w:highlight w:val="none"/>
        </w:rPr>
        <w:t>政策</w:t>
      </w:r>
    </w:p>
    <w:p w14:paraId="1BA00422">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1"/>
          <w:szCs w:val="21"/>
          <w:highlight w:val="none"/>
          <w:lang w:val="en-US" w:eastAsia="zh-CN"/>
        </w:rPr>
        <w:t>江苏省</w:t>
      </w:r>
      <w:r>
        <w:rPr>
          <w:rFonts w:hint="eastAsia" w:ascii="宋体" w:hAnsi="宋体" w:eastAsia="宋体" w:cs="宋体"/>
          <w:color w:val="auto"/>
          <w:sz w:val="21"/>
          <w:szCs w:val="21"/>
          <w:highlight w:val="none"/>
        </w:rPr>
        <w:t>政府采购网“政采贷”栏目）申请贷款，相关金融机构按照双方自愿的原则提供便捷、优惠的贷款服务；具体操作流程请参考苏采云系统中操作手册。</w:t>
      </w:r>
    </w:p>
    <w:p w14:paraId="65F13CB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32.2进口产品</w:t>
      </w:r>
    </w:p>
    <w:p w14:paraId="021C8F2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进口产品</w:t>
      </w:r>
      <w:r>
        <w:rPr>
          <w:rFonts w:hint="eastAsia" w:ascii="宋体" w:hAnsi="宋体" w:eastAsia="宋体" w:cs="宋体"/>
          <w:color w:val="auto"/>
          <w:sz w:val="21"/>
          <w:szCs w:val="21"/>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4E6E4B2">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32.3中小企业、监狱企业及残疾人福利性单位</w:t>
      </w:r>
    </w:p>
    <w:p w14:paraId="3C31D72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32.3.1中小企业定义：</w:t>
      </w:r>
    </w:p>
    <w:p w14:paraId="6FD4A9F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0B6EC2E9">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32.3.2供应商提供的货物、工程或者服务符合下列情形的，享受中小企业扶持政策：</w:t>
      </w:r>
    </w:p>
    <w:p w14:paraId="613022CD">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32.3.2.1在货物采购项目中，货物由中小企业制造，即货物由中小企业生产且使用该中小企业商号或者注册商标；</w:t>
      </w:r>
    </w:p>
    <w:p w14:paraId="78F7F05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32.3.2.2在工程采购项目中，工程由中小企业承建，即工程施工单位为中小企业；</w:t>
      </w:r>
    </w:p>
    <w:p w14:paraId="6C0899F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32.3.2.3在服务采购项目中，服务由中小企业承接，即提供服务的人员为中小企业依照《中华人民共和国劳动合同法》订立劳动合同的从业人员。</w:t>
      </w:r>
    </w:p>
    <w:p w14:paraId="11E4E00F">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32.3.3在货物采购项目中，供应商提供的货物既有中小企业制造货物，也有大型企业制造货物的，不享受中小企业扶持政策。</w:t>
      </w:r>
    </w:p>
    <w:p w14:paraId="46F8E303">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32.3.4以联合体形式参加政府采购活动，联合体各方均为中小企业的，联合体视同中小企业。其中，联合体各方均为小微企业的，联合体视同小微企业。</w:t>
      </w:r>
    </w:p>
    <w:p w14:paraId="1550C59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EB33D93">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32.3.6残疾人福利单位定义：享受政府采购支持政策的残疾人福利性单位应当同时满足以下条件：</w:t>
      </w:r>
    </w:p>
    <w:p w14:paraId="1CA09B2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32.3.6.1安置的残疾人占本单位在职职工人数的比例不低于25%（含25%），并且安置的残疾人人数不少于10人（含10人）；</w:t>
      </w:r>
    </w:p>
    <w:p w14:paraId="1FCD88C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32.3.6.2依法与安置的每位残疾人签订了一年以上（含一年）的劳动合同或服务协议；</w:t>
      </w:r>
    </w:p>
    <w:p w14:paraId="73324C8F">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32.3.6.3为安置的每位残疾人按月足额缴纳了基本养老保险、基本医疗保险、失业保险、工伤保险和生育保险等社会保险费；</w:t>
      </w:r>
    </w:p>
    <w:p w14:paraId="629D8C99">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32.3.6.4通过银行等金融机构向安置的每位残疾人，按月支付了不低于单位所在区县适用的经省级人民政府批准的月最低工资标准的工资；</w:t>
      </w:r>
    </w:p>
    <w:p w14:paraId="5FE42A5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32.3.6.5提供本单位制造的货物、承担的工程或者服务（以下简称产品），或者提供其他残疾人福利性单位制造的货物（不包括使用非残疾人福利性单位注册商标的货物）；</w:t>
      </w:r>
    </w:p>
    <w:p w14:paraId="6B89F04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39B50B63">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32.3.7本项目是否专门面向中小企业预留采购份额见第一章《招标公告》。</w:t>
      </w:r>
    </w:p>
    <w:p w14:paraId="7B975113">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32.3.8采购标的对应的中小企业划分标准所属行业见第四章《采购需求》。</w:t>
      </w:r>
    </w:p>
    <w:p w14:paraId="5AB8B0FA">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32.3.9小微企业价格评审优惠的政策：见第五章《评标方法和评标标准》。</w:t>
      </w:r>
    </w:p>
    <w:p w14:paraId="5AD047D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32.4政府采购节能产品、环境标志产品</w:t>
      </w:r>
    </w:p>
    <w:p w14:paraId="2846118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576D8C2C">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C4C1DF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32.5绿色包装</w:t>
      </w:r>
    </w:p>
    <w:p w14:paraId="70C786BF">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BF81BF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32.6政府采购创新产品</w:t>
      </w:r>
    </w:p>
    <w:p w14:paraId="0EAFFD99">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采购人优先采购各级政府部门公开发布的有效期内的创新产品、创新服务、首台套、首购首用等《目录》的创新产品。</w:t>
      </w:r>
    </w:p>
    <w:p w14:paraId="725AB54D">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32.7绿色数据中心政策</w:t>
      </w:r>
    </w:p>
    <w:p w14:paraId="75BDB68E">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F974E17">
      <w:pPr>
        <w:keepNext w:val="0"/>
        <w:keepLines w:val="0"/>
        <w:pageBreakBefore w:val="0"/>
        <w:widowControl/>
        <w:suppressLineNumbers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32.8实施本国产品标准及相关政策</w:t>
      </w:r>
    </w:p>
    <w:p w14:paraId="70179659">
      <w:pPr>
        <w:keepNext w:val="0"/>
        <w:keepLines w:val="0"/>
        <w:pageBreakBefore w:val="0"/>
        <w:widowControl/>
        <w:suppressLineNumbers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1.本项目对采购本国产品给予政策支持，具体内容见招标文件“第五章 评标方法与评标标准”。</w:t>
      </w:r>
    </w:p>
    <w:p w14:paraId="4F04D3FF">
      <w:pPr>
        <w:keepNext w:val="0"/>
        <w:keepLines w:val="0"/>
        <w:pageBreakBefore w:val="0"/>
        <w:widowControl/>
        <w:suppressLineNumbers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9727EB4">
      <w:pPr>
        <w:keepNext w:val="0"/>
        <w:keepLines w:val="0"/>
        <w:pageBreakBefore w:val="0"/>
        <w:widowControl/>
        <w:suppressLineNumbers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1E3CA22">
      <w:pPr>
        <w:keepNext w:val="0"/>
        <w:keepLines w:val="0"/>
        <w:pageBreakBefore w:val="0"/>
        <w:widowControl/>
        <w:suppressLineNumbers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kern w:val="0"/>
          <w:sz w:val="21"/>
          <w:szCs w:val="21"/>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4B1C38E7">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32.9履约保证金政策</w:t>
      </w:r>
    </w:p>
    <w:p w14:paraId="65A6B289">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确需收取履约保证金的，履约保证金的缴纳形式：</w:t>
      </w:r>
    </w:p>
    <w:p w14:paraId="5D3F4D59">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C101F4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如以履约保函（保险）形式缴纳履约保证金，供应商可通过政府采购电子履约保函（保险）平台（www.jsdzbh.com）在线申请履约保函（保险）。</w:t>
      </w:r>
    </w:p>
    <w:p w14:paraId="2972EA0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履约保证金金额合同金额的5%，采购人对第三方信用服务机构依据标准规范评定为AA级及以上的政府采购供应商（需在签订采购合同前提供信用管理部门备案的第三方信用报告，且信用报告通过“信用盐城网”可查实），免收履约保证金。</w:t>
      </w:r>
    </w:p>
    <w:p w14:paraId="34638BD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33.预付款制度</w:t>
      </w:r>
    </w:p>
    <w:p w14:paraId="018576FB">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本项目落实预付款制度，预付款比例为30%。在签订合同时，中标、成交供应商明确书面表示无需预付款或者主动要求降低预付款比例的，采购人可就预付款比例作相应调整。</w:t>
      </w:r>
    </w:p>
    <w:p w14:paraId="6EF8D9B9">
      <w:pPr>
        <w:pStyle w:val="7"/>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p>
    <w:p w14:paraId="57FD35B9">
      <w:pPr>
        <w:pStyle w:val="7"/>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DBC9EA9">
      <w:pPr>
        <w:pStyle w:val="7"/>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0D493D4">
      <w:pPr>
        <w:pStyle w:val="7"/>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4333514">
      <w:pPr>
        <w:pStyle w:val="7"/>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38760428">
      <w:pPr>
        <w:pStyle w:val="7"/>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0ACABFC5">
      <w:pPr>
        <w:pStyle w:val="7"/>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16280A4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黑体" w:hAnsi="宋体" w:eastAsia="黑体" w:cs="黑体"/>
          <w:color w:val="auto"/>
          <w:sz w:val="24"/>
          <w:szCs w:val="24"/>
          <w:highlight w:val="none"/>
        </w:rPr>
      </w:pPr>
    </w:p>
    <w:p w14:paraId="230C7CA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黑体" w:hAnsi="宋体" w:eastAsia="黑体" w:cs="黑体"/>
          <w:color w:val="auto"/>
          <w:sz w:val="24"/>
          <w:szCs w:val="24"/>
          <w:highlight w:val="none"/>
        </w:rPr>
      </w:pPr>
    </w:p>
    <w:p w14:paraId="1EB7C1E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黑体" w:hAnsi="宋体" w:eastAsia="黑体" w:cs="黑体"/>
          <w:color w:val="auto"/>
          <w:sz w:val="24"/>
          <w:szCs w:val="24"/>
          <w:highlight w:val="none"/>
        </w:rPr>
      </w:pPr>
    </w:p>
    <w:p w14:paraId="40A3D3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黑体" w:hAnsi="宋体" w:eastAsia="黑体" w:cs="黑体"/>
          <w:color w:val="auto"/>
          <w:sz w:val="24"/>
          <w:szCs w:val="24"/>
          <w:highlight w:val="none"/>
        </w:rPr>
      </w:pPr>
    </w:p>
    <w:p w14:paraId="6771874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黑体" w:hAnsi="宋体" w:eastAsia="黑体" w:cs="黑体"/>
          <w:color w:val="auto"/>
          <w:sz w:val="24"/>
          <w:szCs w:val="24"/>
          <w:highlight w:val="none"/>
        </w:rPr>
      </w:pPr>
    </w:p>
    <w:p w14:paraId="477ACDE6">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黑体" w:hAnsi="宋体" w:eastAsia="黑体" w:cs="黑体"/>
          <w:color w:val="auto"/>
          <w:sz w:val="24"/>
          <w:szCs w:val="24"/>
          <w:highlight w:val="none"/>
        </w:rPr>
      </w:pPr>
    </w:p>
    <w:p w14:paraId="358A55B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883" w:firstLineChars="200"/>
        <w:jc w:val="center"/>
        <w:textAlignment w:val="auto"/>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t>第三章 合同文本</w:t>
      </w:r>
    </w:p>
    <w:p w14:paraId="2CB963BF">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center"/>
        <w:textAlignment w:val="auto"/>
        <w:rPr>
          <w:color w:val="auto"/>
          <w:sz w:val="24"/>
          <w:szCs w:val="24"/>
          <w:highlight w:val="none"/>
        </w:rPr>
      </w:pPr>
      <w:r>
        <w:rPr>
          <w:rFonts w:hint="eastAsia" w:ascii="宋体" w:hAnsi="宋体" w:eastAsia="宋体" w:cs="宋体"/>
          <w:b/>
          <w:color w:val="auto"/>
          <w:sz w:val="24"/>
          <w:szCs w:val="24"/>
          <w:highlight w:val="none"/>
        </w:rPr>
        <w:t>盐城市政府采购合同（服务）（合同编号）</w:t>
      </w:r>
    </w:p>
    <w:p w14:paraId="2CD58AEB">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u w:val="single"/>
          <w:lang w:eastAsia="zh-CN"/>
        </w:rPr>
        <w:t>盐城市公安局盐南高新技术产业开发区分局食堂外包服务项目</w:t>
      </w:r>
    </w:p>
    <w:p w14:paraId="53645A8B">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w:t>
      </w:r>
    </w:p>
    <w:p w14:paraId="649429A5">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甲方：_________</w:t>
      </w:r>
    </w:p>
    <w:p w14:paraId="62D42491">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乙方：_________</w:t>
      </w:r>
    </w:p>
    <w:p w14:paraId="5774692B">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甲、乙双方根据盐城市政府</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u w:val="single"/>
          <w:lang w:eastAsia="zh-CN"/>
        </w:rPr>
        <w:t>盐城市公安局盐南高新技术产业开发区分局食堂外包服务项目</w:t>
      </w:r>
      <w:r>
        <w:rPr>
          <w:rFonts w:hint="eastAsia" w:ascii="宋体" w:hAnsi="宋体" w:eastAsia="宋体" w:cs="宋体"/>
          <w:color w:val="auto"/>
          <w:sz w:val="21"/>
          <w:szCs w:val="21"/>
          <w:highlight w:val="none"/>
        </w:rPr>
        <w:t>公开招标的结果，签署本合同。</w:t>
      </w:r>
    </w:p>
    <w:p w14:paraId="6DA3AA6C">
      <w:pPr>
        <w:spacing w:line="540" w:lineRule="exact"/>
        <w:ind w:firstLine="422" w:firstLineChars="20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一、标的内容</w:t>
      </w:r>
    </w:p>
    <w:p w14:paraId="6007AC7E">
      <w:pPr>
        <w:spacing w:line="540" w:lineRule="exact"/>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1.标的名称：</w:t>
      </w:r>
      <w:r>
        <w:rPr>
          <w:rFonts w:hint="eastAsia" w:ascii="宋体" w:hAnsi="宋体" w:eastAsia="宋体" w:cs="宋体"/>
          <w:color w:val="auto"/>
          <w:sz w:val="21"/>
          <w:szCs w:val="21"/>
          <w:highlight w:val="none"/>
          <w:u w:val="single"/>
          <w:lang w:eastAsia="zh-CN"/>
        </w:rPr>
        <w:t>盐城市公安局盐南高新技术产业开发区分局食堂外包服务项目</w:t>
      </w:r>
    </w:p>
    <w:p w14:paraId="10246573">
      <w:pPr>
        <w:spacing w:line="540" w:lineRule="exact"/>
        <w:ind w:firstLine="422" w:firstLineChars="20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二、合同金额及服务期限</w:t>
      </w:r>
    </w:p>
    <w:p w14:paraId="0509E342">
      <w:pPr>
        <w:spacing w:line="540" w:lineRule="exact"/>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本合同金额为（大写）：_________圆整（小写_______元）人民币。本合同价款包含所有乙方提供合同约定产品和服务的报酬及乙方提供合同中产品和服务所支出的必要费用，甲方在上述合同价款之外不再向乙方支付其他任何费用。</w:t>
      </w:r>
    </w:p>
    <w:p w14:paraId="6C9B09D9">
      <w:pPr>
        <w:spacing w:line="540" w:lineRule="exact"/>
        <w:ind w:firstLine="420" w:firstLineChars="200"/>
        <w:rPr>
          <w:rFonts w:hint="eastAsia" w:ascii="宋体" w:hAnsi="宋体" w:eastAsia="宋体" w:cs="宋体"/>
          <w:b w:val="0"/>
          <w:bCs/>
          <w:color w:val="auto"/>
          <w:sz w:val="21"/>
          <w:szCs w:val="21"/>
          <w:u w:val="single"/>
          <w:lang w:val="en-US" w:eastAsia="zh-CN"/>
        </w:rPr>
      </w:pPr>
      <w:r>
        <w:rPr>
          <w:rFonts w:hint="eastAsia" w:ascii="宋体" w:hAnsi="宋体" w:eastAsia="宋体" w:cs="宋体"/>
          <w:b w:val="0"/>
          <w:bCs/>
          <w:color w:val="auto"/>
          <w:sz w:val="21"/>
          <w:szCs w:val="21"/>
          <w:lang w:val="en-US" w:eastAsia="zh-CN"/>
        </w:rPr>
        <w:t>2.服务期限：壹</w:t>
      </w:r>
      <w:r>
        <w:rPr>
          <w:rFonts w:hint="eastAsia" w:ascii="宋体" w:hAnsi="宋体" w:eastAsia="宋体" w:cs="宋体"/>
          <w:color w:val="auto"/>
          <w:sz w:val="21"/>
          <w:szCs w:val="21"/>
        </w:rPr>
        <w:t>年</w:t>
      </w:r>
      <w:r>
        <w:rPr>
          <w:rFonts w:hint="eastAsia" w:ascii="宋体" w:hAnsi="宋体" w:eastAsia="宋体" w:cs="宋体"/>
          <w:color w:val="auto"/>
          <w:sz w:val="21"/>
          <w:szCs w:val="21"/>
          <w:lang w:eastAsia="zh-CN"/>
        </w:rPr>
        <w:t>（</w:t>
      </w:r>
      <w:r>
        <w:rPr>
          <w:rFonts w:hint="eastAsia" w:ascii="宋体" w:hAnsi="宋体" w:eastAsia="宋体" w:cs="宋体"/>
          <w:b w:val="0"/>
          <w:bCs/>
          <w:color w:val="auto"/>
          <w:sz w:val="21"/>
          <w:szCs w:val="21"/>
          <w:u w:val="single"/>
          <w:lang w:val="en-US" w:eastAsia="zh-CN"/>
        </w:rPr>
        <w:t>2026年  月   日至2027年  月   日）</w:t>
      </w:r>
      <w:r>
        <w:rPr>
          <w:rFonts w:hint="eastAsia" w:ascii="宋体" w:hAnsi="宋体" w:eastAsia="宋体" w:cs="宋体"/>
          <w:b w:val="0"/>
          <w:bCs/>
          <w:color w:val="auto"/>
          <w:sz w:val="21"/>
          <w:szCs w:val="21"/>
          <w:u w:val="none"/>
          <w:lang w:val="en-US" w:eastAsia="zh-CN"/>
        </w:rPr>
        <w:t>；</w:t>
      </w:r>
      <w:r>
        <w:rPr>
          <w:rFonts w:hint="eastAsia" w:ascii="宋体" w:hAnsi="宋体" w:eastAsia="宋体" w:cs="宋体"/>
          <w:bCs/>
          <w:color w:val="auto"/>
          <w:sz w:val="21"/>
          <w:szCs w:val="21"/>
        </w:rPr>
        <w:t>服务期满后，如满意率达80%以上，可续签</w:t>
      </w:r>
      <w:r>
        <w:rPr>
          <w:rFonts w:hint="eastAsia" w:ascii="宋体" w:hAnsi="宋体" w:eastAsia="宋体" w:cs="宋体"/>
          <w:bCs/>
          <w:color w:val="auto"/>
          <w:sz w:val="21"/>
          <w:szCs w:val="21"/>
          <w:lang w:val="en-US" w:eastAsia="zh-CN"/>
        </w:rPr>
        <w:t>一个服务期</w:t>
      </w:r>
      <w:r>
        <w:rPr>
          <w:rFonts w:hint="eastAsia" w:ascii="宋体" w:hAnsi="宋体" w:eastAsia="宋体" w:cs="宋体"/>
          <w:bCs/>
          <w:color w:val="auto"/>
          <w:sz w:val="21"/>
          <w:szCs w:val="21"/>
        </w:rPr>
        <w:t>，最多续签二</w:t>
      </w:r>
      <w:r>
        <w:rPr>
          <w:rFonts w:hint="eastAsia" w:ascii="宋体" w:hAnsi="宋体" w:eastAsia="宋体" w:cs="宋体"/>
          <w:bCs/>
          <w:color w:val="auto"/>
          <w:sz w:val="21"/>
          <w:szCs w:val="21"/>
          <w:lang w:val="en-US" w:eastAsia="zh-CN"/>
        </w:rPr>
        <w:t>次</w:t>
      </w:r>
      <w:r>
        <w:rPr>
          <w:rFonts w:hint="eastAsia" w:ascii="宋体" w:hAnsi="宋体" w:eastAsia="宋体" w:cs="宋体"/>
          <w:bCs/>
          <w:color w:val="auto"/>
          <w:sz w:val="21"/>
          <w:szCs w:val="21"/>
        </w:rPr>
        <w:t>。</w:t>
      </w:r>
    </w:p>
    <w:p w14:paraId="629AEF29">
      <w:pPr>
        <w:spacing w:line="540" w:lineRule="exact"/>
        <w:ind w:firstLine="422" w:firstLineChars="200"/>
        <w:rPr>
          <w:rFonts w:hint="eastAsia" w:ascii="宋体" w:hAnsi="宋体" w:eastAsia="宋体" w:cs="宋体"/>
          <w:b/>
          <w:color w:val="auto"/>
          <w:sz w:val="21"/>
          <w:szCs w:val="21"/>
          <w:lang w:eastAsia="zh-CN"/>
        </w:rPr>
      </w:pPr>
      <w:r>
        <w:rPr>
          <w:rFonts w:hint="eastAsia" w:ascii="宋体" w:hAnsi="宋体" w:eastAsia="宋体" w:cs="宋体"/>
          <w:b/>
          <w:color w:val="auto"/>
          <w:sz w:val="21"/>
          <w:szCs w:val="21"/>
        </w:rPr>
        <w:t>三、承包方式</w:t>
      </w:r>
    </w:p>
    <w:p w14:paraId="09C97CFD">
      <w:pPr>
        <w:spacing w:line="540" w:lineRule="exact"/>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1</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甲方为乙方免费提供厨房、餐厅及厨房一般设备，在服务期间，必须要更新厨房设备时，乙方应书面提出申请并呈报甲方，经甲方核准后，由甲方负责购买。</w:t>
      </w:r>
    </w:p>
    <w:p w14:paraId="57B94948">
      <w:pPr>
        <w:spacing w:line="540" w:lineRule="exact"/>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在承包服务期间，食堂的水、电、燃气费用由甲方承担。食堂的设备因乙方人员操作失误造成损坏的，由乙方负责维修或赔偿，食堂内的清洁卫生及下水道在甲方监督下由乙方管理，因管理不善造成的堵塞等问题，由乙方负责解决。</w:t>
      </w:r>
    </w:p>
    <w:p w14:paraId="2DD1DD69">
      <w:pPr>
        <w:spacing w:line="5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乙方派驻食堂所有员工的工资、福利、社保等均由乙方负责。食堂使用的餐具、清洁用品用具的易耗品由甲方负责。</w:t>
      </w:r>
    </w:p>
    <w:p w14:paraId="1CFDC0CB">
      <w:pPr>
        <w:spacing w:line="540" w:lineRule="exact"/>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四、双方的权利及义务</w:t>
      </w:r>
    </w:p>
    <w:p w14:paraId="3C681BCA">
      <w:pPr>
        <w:spacing w:line="540" w:lineRule="exact"/>
        <w:ind w:left="120" w:leftChars="57" w:firstLine="315" w:firstLineChars="15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甲方的权利与义务</w:t>
      </w:r>
    </w:p>
    <w:p w14:paraId="5C81F12E">
      <w:pPr>
        <w:spacing w:line="540" w:lineRule="exact"/>
        <w:ind w:left="120" w:leftChars="57" w:firstLine="315" w:firstLineChars="150"/>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甲方对乙方的配菜、营养搭配、卫生状况及服务水平进行全面监督，使其合法并按照合同履行责任，对不合理现象，有权责令乙方修改并要求其不断提高管理水平。</w:t>
      </w:r>
    </w:p>
    <w:p w14:paraId="1BFCAD0A">
      <w:pPr>
        <w:spacing w:line="540" w:lineRule="exact"/>
        <w:ind w:left="120" w:leftChars="57" w:firstLine="315" w:firstLineChars="15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1.2</w:t>
      </w:r>
      <w:r>
        <w:rPr>
          <w:rFonts w:hint="eastAsia" w:ascii="宋体" w:hAnsi="宋体" w:eastAsia="宋体" w:cs="宋体"/>
          <w:color w:val="auto"/>
          <w:sz w:val="21"/>
          <w:szCs w:val="21"/>
        </w:rPr>
        <w:t>乙方所用食材与材料，若发现食物有腐烂变质现象，应及时向甲方反映相关情况，如若乙方继续使用存在腐烂变质现象的食物造成甲方人员食物中毒或身体不适，经医院确诊后，由乙方负责赔偿甲方员工因医疗因素而引起的实际经济损失，并承担相应的法律责任。</w:t>
      </w:r>
    </w:p>
    <w:p w14:paraId="3439A6B2">
      <w:pPr>
        <w:spacing w:line="540" w:lineRule="exact"/>
        <w:ind w:left="120" w:leftChars="57" w:firstLine="315" w:firstLineChars="15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1.3</w:t>
      </w:r>
      <w:r>
        <w:rPr>
          <w:rFonts w:hint="eastAsia" w:ascii="宋体" w:hAnsi="宋体" w:eastAsia="宋体" w:cs="宋体"/>
          <w:color w:val="auto"/>
          <w:sz w:val="21"/>
          <w:szCs w:val="21"/>
        </w:rPr>
        <w:t>甲方做好厨房及餐厅的治安管理，并加强就餐员工的素质教育与培训。</w:t>
      </w:r>
    </w:p>
    <w:p w14:paraId="14F41E63">
      <w:pPr>
        <w:spacing w:line="540" w:lineRule="exact"/>
        <w:ind w:left="120" w:leftChars="57" w:firstLine="315" w:firstLineChars="15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1.4</w:t>
      </w:r>
      <w:r>
        <w:rPr>
          <w:rFonts w:hint="eastAsia" w:ascii="宋体" w:hAnsi="宋体" w:eastAsia="宋体" w:cs="宋体"/>
          <w:color w:val="auto"/>
          <w:sz w:val="21"/>
          <w:szCs w:val="21"/>
        </w:rPr>
        <w:t>甲方负责提供各餐别就餐的大约人数，有较大人员变动时应立即通知乙方，如因甲方未及时告知造成人员就餐影响的，由甲方承担相应责任。</w:t>
      </w:r>
    </w:p>
    <w:p w14:paraId="31AF3538">
      <w:pPr>
        <w:spacing w:line="540" w:lineRule="exact"/>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乙方的权利与义务</w:t>
      </w:r>
    </w:p>
    <w:p w14:paraId="38C90201">
      <w:pPr>
        <w:spacing w:line="540" w:lineRule="exact"/>
        <w:ind w:left="120" w:leftChars="57" w:firstLine="315" w:firstLineChars="15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2.1</w:t>
      </w:r>
      <w:r>
        <w:rPr>
          <w:rFonts w:hint="eastAsia" w:ascii="宋体" w:hAnsi="宋体" w:eastAsia="宋体" w:cs="宋体"/>
          <w:color w:val="auto"/>
          <w:sz w:val="21"/>
          <w:szCs w:val="21"/>
        </w:rPr>
        <w:t>甲方员工如未按规定就餐时间就餐的，乙方工作人员有权拒绝为其提供就餐服务。</w:t>
      </w:r>
    </w:p>
    <w:p w14:paraId="6A2B07B2">
      <w:pPr>
        <w:spacing w:line="540" w:lineRule="exact"/>
        <w:ind w:left="120" w:leftChars="57" w:firstLine="315" w:firstLineChars="15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2.2</w:t>
      </w:r>
      <w:r>
        <w:rPr>
          <w:rFonts w:hint="eastAsia" w:ascii="宋体" w:hAnsi="宋体" w:eastAsia="宋体" w:cs="宋体"/>
          <w:color w:val="auto"/>
          <w:sz w:val="21"/>
          <w:szCs w:val="21"/>
        </w:rPr>
        <w:t>厨房的泔脚料、垃圾应由乙方按规定处理，产生的合理费用由甲方承担。</w:t>
      </w:r>
    </w:p>
    <w:p w14:paraId="544B0C60">
      <w:pPr>
        <w:spacing w:line="540" w:lineRule="exact"/>
        <w:ind w:left="120" w:leftChars="57" w:firstLine="315" w:firstLineChars="15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2.3</w:t>
      </w:r>
      <w:r>
        <w:rPr>
          <w:rFonts w:hint="eastAsia" w:ascii="宋体" w:hAnsi="宋体" w:eastAsia="宋体" w:cs="宋体"/>
          <w:color w:val="auto"/>
          <w:sz w:val="21"/>
          <w:szCs w:val="21"/>
        </w:rPr>
        <w:t>员工就餐用之餐具应为本单位员工专用，严禁给非本单位员工使用。</w:t>
      </w:r>
    </w:p>
    <w:p w14:paraId="74C8C28E">
      <w:pPr>
        <w:spacing w:line="540" w:lineRule="exact"/>
        <w:ind w:left="120" w:leftChars="57" w:firstLine="315" w:firstLineChars="15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2.4</w:t>
      </w:r>
      <w:r>
        <w:rPr>
          <w:rFonts w:hint="eastAsia" w:ascii="宋体" w:hAnsi="宋体" w:eastAsia="宋体" w:cs="宋体"/>
          <w:color w:val="auto"/>
          <w:sz w:val="21"/>
          <w:szCs w:val="21"/>
        </w:rPr>
        <w:t>废水、废气、废弃物之排放处置应符合国家及地方相关环保法律法规规定，若未相符，须立即配合甲方进行整改。</w:t>
      </w:r>
    </w:p>
    <w:p w14:paraId="0FDB7994">
      <w:pPr>
        <w:spacing w:line="540" w:lineRule="exact"/>
        <w:ind w:left="120" w:leftChars="57" w:firstLine="315" w:firstLineChars="15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2.5</w:t>
      </w:r>
      <w:r>
        <w:rPr>
          <w:rFonts w:hint="eastAsia" w:ascii="宋体" w:hAnsi="宋体" w:eastAsia="宋体" w:cs="宋体"/>
          <w:color w:val="auto"/>
          <w:sz w:val="21"/>
          <w:szCs w:val="21"/>
        </w:rPr>
        <w:t>配合甲方之环境政策、安全健康等进行改善及管理。</w:t>
      </w:r>
    </w:p>
    <w:p w14:paraId="0AC05A6F">
      <w:pPr>
        <w:spacing w:line="540" w:lineRule="exact"/>
        <w:ind w:left="120" w:leftChars="57" w:firstLine="315" w:firstLineChars="15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2.6</w:t>
      </w:r>
      <w:r>
        <w:rPr>
          <w:rFonts w:hint="eastAsia" w:ascii="宋体" w:hAnsi="宋体" w:eastAsia="宋体" w:cs="宋体"/>
          <w:color w:val="auto"/>
          <w:sz w:val="21"/>
          <w:szCs w:val="21"/>
        </w:rPr>
        <w:t>遵守国家和地方的安全卫生规定，做到优秀服务，文明服务，严格把好菜肴的质量关，绝对禁止腐烂变质的食物进入食堂。严格执行国家、各级政府常态化疫情防控有关要求。</w:t>
      </w:r>
    </w:p>
    <w:p w14:paraId="7D29EA9E">
      <w:pPr>
        <w:spacing w:line="540" w:lineRule="exact"/>
        <w:ind w:left="120" w:leftChars="57" w:firstLine="315" w:firstLineChars="15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2.7</w:t>
      </w:r>
      <w:r>
        <w:rPr>
          <w:rFonts w:hint="eastAsia" w:ascii="宋体" w:hAnsi="宋体" w:eastAsia="宋体" w:cs="宋体"/>
          <w:color w:val="auto"/>
          <w:sz w:val="21"/>
          <w:szCs w:val="21"/>
        </w:rPr>
        <w:t>国家食品卫生监督机构检查有异常时，乙方应将异常情况及改善对策报知甲方，因检查产生的一切后果由乙方承担，甲方因此产生的损失由乙方赔偿。</w:t>
      </w:r>
    </w:p>
    <w:p w14:paraId="7EBAC079">
      <w:pPr>
        <w:spacing w:line="540" w:lineRule="exact"/>
        <w:ind w:left="120" w:leftChars="57" w:firstLine="315" w:firstLineChars="15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2.8</w:t>
      </w:r>
      <w:r>
        <w:rPr>
          <w:rFonts w:hint="eastAsia" w:ascii="宋体" w:hAnsi="宋体" w:eastAsia="宋体" w:cs="宋体"/>
          <w:color w:val="auto"/>
          <w:sz w:val="21"/>
          <w:szCs w:val="21"/>
        </w:rPr>
        <w:t>乙方工作人员在工作期间，要注重个人卫生，佩戴好工作帽与口罩，持有政府部门核发的有效健康证，随时接受甲方食堂管理人员的检查。</w:t>
      </w:r>
    </w:p>
    <w:p w14:paraId="443992FB">
      <w:pPr>
        <w:spacing w:line="540" w:lineRule="exact"/>
        <w:ind w:left="120" w:leftChars="57" w:firstLine="315" w:firstLineChars="15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2.9</w:t>
      </w:r>
      <w:r>
        <w:rPr>
          <w:rFonts w:hint="eastAsia" w:ascii="宋体" w:hAnsi="宋体" w:eastAsia="宋体" w:cs="宋体"/>
          <w:color w:val="auto"/>
          <w:sz w:val="21"/>
          <w:szCs w:val="21"/>
        </w:rPr>
        <w:t>乙方承保餐饮场所责任险，附保险单复印本，为甲方提供完善具体的保证。</w:t>
      </w:r>
    </w:p>
    <w:p w14:paraId="37B4B2D4">
      <w:pPr>
        <w:spacing w:line="540" w:lineRule="exact"/>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五、其他条款</w:t>
      </w:r>
    </w:p>
    <w:p w14:paraId="08D1913B">
      <w:pPr>
        <w:autoSpaceDE w:val="0"/>
        <w:autoSpaceDN w:val="0"/>
        <w:adjustRightInd w:val="0"/>
        <w:spacing w:line="5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加强对食品加工生产环节的管理。杜绝日常用品及水、电等原材料的浪费。</w:t>
      </w:r>
    </w:p>
    <w:p w14:paraId="1D4B1A2E">
      <w:pPr>
        <w:autoSpaceDE w:val="0"/>
        <w:autoSpaceDN w:val="0"/>
        <w:adjustRightInd w:val="0"/>
        <w:spacing w:line="5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保证食堂的饮食安全卫生，按要求做好食品留样工作；食堂工作人员不得私自携带食堂用品离开。</w:t>
      </w:r>
    </w:p>
    <w:p w14:paraId="2E9AB5DA">
      <w:pPr>
        <w:autoSpaceDE w:val="0"/>
        <w:autoSpaceDN w:val="0"/>
        <w:adjustRightInd w:val="0"/>
        <w:spacing w:line="5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乙方应保证食堂的食品质量、菜肴口味、食堂卫生、规范服务等达到三星级酒店以上标准（重要接待达到四星以上标准），达到餐饮行业4D日常管理标准。</w:t>
      </w:r>
    </w:p>
    <w:p w14:paraId="170C1EA0">
      <w:pPr>
        <w:autoSpaceDE w:val="0"/>
        <w:autoSpaceDN w:val="0"/>
        <w:adjustRightInd w:val="0"/>
        <w:spacing w:line="5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食堂工作人员所有工资（福利待遇）、劳动安全、社会保险等责任均由乙方负责；食堂工作人员在工作期间和上下班途中发生人身安全事故，由乙方负责。</w:t>
      </w:r>
    </w:p>
    <w:p w14:paraId="49B4415A">
      <w:pPr>
        <w:autoSpaceDE w:val="0"/>
        <w:autoSpaceDN w:val="0"/>
        <w:adjustRightInd w:val="0"/>
        <w:spacing w:line="5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所有工作人员必须身体健康并持有效“健康证”上岗，厨师须有从事类似工作经历。</w:t>
      </w:r>
    </w:p>
    <w:p w14:paraId="3C7077D1">
      <w:pPr>
        <w:autoSpaceDE w:val="0"/>
        <w:autoSpaceDN w:val="0"/>
        <w:adjustRightInd w:val="0"/>
        <w:spacing w:line="5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乙方要配合做好突发事件、重大事项的公务接待及服务工作。</w:t>
      </w:r>
    </w:p>
    <w:p w14:paraId="693CC3B5">
      <w:pPr>
        <w:autoSpaceDE w:val="0"/>
        <w:autoSpaceDN w:val="0"/>
        <w:adjustRightInd w:val="0"/>
        <w:spacing w:line="5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乙方应配合甲方做好上级相关部门的检查和创文创卫相关工作。</w:t>
      </w:r>
    </w:p>
    <w:p w14:paraId="6019E8C3">
      <w:pPr>
        <w:autoSpaceDE w:val="0"/>
        <w:autoSpaceDN w:val="0"/>
        <w:adjustRightInd w:val="0"/>
        <w:spacing w:line="5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8</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乙方食堂工作人员在工作中必须统一着装，服装费用由乙方承担。</w:t>
      </w:r>
    </w:p>
    <w:p w14:paraId="2C72B037">
      <w:pPr>
        <w:autoSpaceDE w:val="0"/>
        <w:autoSpaceDN w:val="0"/>
        <w:adjustRightInd w:val="0"/>
        <w:spacing w:line="5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9</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乙方提供服务所需用工必须符合《劳动合同法》要求，依法用工。如发生用工纠纷，由乙方自行负责，甲方不承担连带责任，用工调整须报甲方备案。</w:t>
      </w:r>
    </w:p>
    <w:p w14:paraId="700043CB">
      <w:pPr>
        <w:autoSpaceDE w:val="0"/>
        <w:autoSpaceDN w:val="0"/>
        <w:adjustRightInd w:val="0"/>
        <w:spacing w:line="5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10</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安全责任落实到位。乙方应注重食品卫生安全，负责甲方场所用工、用水、用电、用气安全和消防安全，明确责任人，服从甲方的统一管理，确保安全无事故。如发生食品安全、水电、消防安全等方面的安全事故，由乙方承担全部责任，甲方概不负责。乙方应注重落实门禁、监控等安全管控措施。</w:t>
      </w:r>
    </w:p>
    <w:p w14:paraId="614BB6C0">
      <w:pPr>
        <w:autoSpaceDE w:val="0"/>
        <w:autoSpaceDN w:val="0"/>
        <w:adjustRightInd w:val="0"/>
        <w:spacing w:line="5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食堂内的工作人员属于乙方的职工，与甲方不存在任何雇佣、委托等劳动关系，同时食堂工作人员在工作过程中的安全责任由乙方负责。如因乙方原因引发用气、用电、用水等安全生产事故的，乙方承担全部责任和经济补偿，甲方概不承担任何责任。</w:t>
      </w:r>
    </w:p>
    <w:p w14:paraId="0B4B9E94">
      <w:pPr>
        <w:autoSpaceDE w:val="0"/>
        <w:autoSpaceDN w:val="0"/>
        <w:adjustRightInd w:val="0"/>
        <w:spacing w:line="5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12</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食堂的卫生防疫、就餐环境卫生等级必须达到市卫生监督部门有关要求，甲方有权监督，并定期检查。</w:t>
      </w:r>
    </w:p>
    <w:p w14:paraId="5893F1F2">
      <w:pPr>
        <w:spacing w:line="540" w:lineRule="exact"/>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六、履约保证金</w:t>
      </w:r>
    </w:p>
    <w:p w14:paraId="4AC6F81D">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乙方交纳人民币_________元作为本合同的履约保证金。</w:t>
      </w:r>
    </w:p>
    <w:p w14:paraId="0765B6EF">
      <w:pPr>
        <w:pStyle w:val="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（备注：合同金额的5%，采购人应当对AA评级及以上政府采购供应商（需提供信用管理部门备案的第三方信用报告）免收履约保证金。）</w:t>
      </w:r>
    </w:p>
    <w:p w14:paraId="22DB6F9A">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2.确需收取履约保证金的，</w:t>
      </w:r>
      <w:r>
        <w:rPr>
          <w:rFonts w:hint="eastAsia" w:ascii="宋体" w:hAnsi="宋体" w:eastAsia="宋体" w:cs="宋体"/>
          <w:color w:val="auto"/>
          <w:sz w:val="21"/>
          <w:szCs w:val="21"/>
          <w:highlight w:val="none"/>
          <w:lang w:eastAsia="zh-CN"/>
        </w:rPr>
        <w:t>履约保证金的缴纳形式：</w:t>
      </w:r>
    </w:p>
    <w:p w14:paraId="452E4A28">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rPr>
        <w:t>供应商应当以支票、汇票、本票或者金融机构、担保机构出具的保函等非现金形式提交</w:t>
      </w:r>
      <w:r>
        <w:rPr>
          <w:rFonts w:hint="eastAsia" w:ascii="宋体" w:hAnsi="宋体" w:eastAsia="宋体" w:cs="宋体"/>
          <w:color w:val="auto"/>
          <w:sz w:val="21"/>
          <w:szCs w:val="21"/>
          <w:highlight w:val="none"/>
          <w:lang w:eastAsia="zh-CN"/>
        </w:rPr>
        <w:t>履约保证金</w:t>
      </w:r>
      <w:r>
        <w:rPr>
          <w:rFonts w:hint="eastAsia" w:ascii="宋体" w:hAnsi="宋体" w:eastAsia="宋体" w:cs="宋体"/>
          <w:color w:val="auto"/>
          <w:sz w:val="21"/>
          <w:szCs w:val="21"/>
          <w:highlight w:val="none"/>
        </w:rPr>
        <w:t>。依据《关于在全省政府采购领域推行电子履约保函（保险）的通知》，鼓励供应商自愿使用</w:t>
      </w:r>
      <w:r>
        <w:rPr>
          <w:rFonts w:hint="eastAsia" w:ascii="宋体" w:hAnsi="宋体" w:eastAsia="宋体" w:cs="宋体"/>
          <w:color w:val="auto"/>
          <w:sz w:val="21"/>
          <w:szCs w:val="21"/>
          <w:highlight w:val="none"/>
          <w:lang w:eastAsia="zh-CN"/>
        </w:rPr>
        <w:t>电子</w:t>
      </w:r>
      <w:r>
        <w:rPr>
          <w:rFonts w:hint="eastAsia" w:ascii="宋体" w:hAnsi="宋体" w:eastAsia="宋体" w:cs="宋体"/>
          <w:color w:val="auto"/>
          <w:sz w:val="21"/>
          <w:szCs w:val="21"/>
          <w:highlight w:val="none"/>
        </w:rPr>
        <w:t>履约保函（保险）代替缴纳履约保证金</w:t>
      </w:r>
      <w:r>
        <w:rPr>
          <w:rFonts w:hint="eastAsia" w:ascii="宋体" w:hAnsi="宋体" w:eastAsia="宋体" w:cs="宋体"/>
          <w:color w:val="auto"/>
          <w:sz w:val="21"/>
          <w:szCs w:val="21"/>
          <w:highlight w:val="none"/>
          <w:lang w:eastAsia="zh-CN"/>
        </w:rPr>
        <w:t>。</w:t>
      </w:r>
    </w:p>
    <w:p w14:paraId="4D3D76BE">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2.2如以履约保函（保险）形式缴纳履约保证金，供应商可通过政府采购电子履约保函（保险）平台（www.jsdzbh.com）在线申请履约保函（保险）。</w:t>
      </w:r>
    </w:p>
    <w:p w14:paraId="23D37106">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合同履行结束后，甲方应及时退还交纳的履约保证金。</w:t>
      </w:r>
    </w:p>
    <w:p w14:paraId="3D93B45B">
      <w:pPr>
        <w:pStyle w:val="7"/>
        <w:keepNext w:val="0"/>
        <w:keepLines w:val="0"/>
        <w:pageBreakBefore w:val="0"/>
        <w:widowControl w:val="0"/>
        <w:numPr>
          <w:ilvl w:val="0"/>
          <w:numId w:val="0"/>
        </w:numPr>
        <w:kinsoku/>
        <w:wordWrap/>
        <w:overflowPunct/>
        <w:topLinePunct w:val="0"/>
        <w:autoSpaceDE/>
        <w:autoSpaceDN/>
        <w:bidi w:val="0"/>
        <w:adjustRightInd/>
        <w:snapToGrid/>
        <w:spacing w:before="120" w:beforeAutospacing="0" w:after="120" w:afterAutospacing="0" w:line="500" w:lineRule="exact"/>
        <w:ind w:leftChars="6"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履约保证金的退还：</w:t>
      </w:r>
    </w:p>
    <w:p w14:paraId="13DA3F5C">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.1方式：退还至投标人缴纳履约保证金的账户。如为保函，在到期时自行失效。</w:t>
      </w:r>
    </w:p>
    <w:p w14:paraId="7DE2E1CA">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.2时间：验收合格且采购人收到发票后30日内。</w:t>
      </w:r>
    </w:p>
    <w:p w14:paraId="7958E86C">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.3条件：按合同要求全部履约完成并经采购人验收合格，且采购人收到中标人出具的发票。</w:t>
      </w:r>
    </w:p>
    <w:p w14:paraId="0C1F75A9">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.4不予退还情形：</w:t>
      </w:r>
    </w:p>
    <w:p w14:paraId="5EACD38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除不可抗力情况外，投标人出现下列情形之一的，其履约保证金，招标人将视情节决定不予退还或部分不予退还。</w:t>
      </w:r>
    </w:p>
    <w:p w14:paraId="34A64D69">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（1）中标人无正当理由拒绝签订合同的，或者在签订合同时向采购人提出附加条件或者更改合同实质性内容要求的；</w:t>
      </w:r>
    </w:p>
    <w:p w14:paraId="42F3C832">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（2）中标人不履行与采购人订立的合同的；</w:t>
      </w:r>
    </w:p>
    <w:p w14:paraId="131F7E63">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（3）中标人所供货物或服务不符合招标文件规定要求的；</w:t>
      </w:r>
    </w:p>
    <w:p w14:paraId="361922DA">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（4）中标人采取欺骗、弄虚作假方式投标的或与其它投标人串通投标的；</w:t>
      </w:r>
    </w:p>
    <w:p w14:paraId="65399FF7">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（5）中标人将合同内容转包、违法分包的；</w:t>
      </w:r>
    </w:p>
    <w:p w14:paraId="0D292E0D">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（6）中标人故意捏造事实或伪造证明材料，进行虚假恶意投诉或反映的。</w:t>
      </w:r>
    </w:p>
    <w:p w14:paraId="3F3B559F">
      <w:pPr>
        <w:autoSpaceDE w:val="0"/>
        <w:autoSpaceDN w:val="0"/>
        <w:adjustRightInd w:val="0"/>
        <w:spacing w:line="5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.5逾期退还的违约责任：采购人逾期无故未退还履约保证金的，按中国人民银行同期贷款基准利率上浮20%后的利率支付超期资金占用费，但因供应商自身原因导致无法及时退还的除外。</w:t>
      </w:r>
    </w:p>
    <w:p w14:paraId="62706178">
      <w:pPr>
        <w:spacing w:line="540" w:lineRule="exact"/>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七、税费</w:t>
      </w:r>
    </w:p>
    <w:p w14:paraId="2DCC400B">
      <w:pPr>
        <w:autoSpaceDE w:val="0"/>
        <w:autoSpaceDN w:val="0"/>
        <w:adjustRightInd w:val="0"/>
        <w:spacing w:line="5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本合同执行中相关税费均由乙方承担。</w:t>
      </w:r>
    </w:p>
    <w:p w14:paraId="3E988771">
      <w:pPr>
        <w:spacing w:line="540" w:lineRule="exact"/>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八、处罚条款</w:t>
      </w:r>
    </w:p>
    <w:p w14:paraId="3B59FB91">
      <w:pPr>
        <w:spacing w:line="5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乙方拟报本项目人员不得私自更换，如更换需经甲方同意。若私自更换人员或发现乙方人员存在违规违纪行为的，甲方有权对乙方作出警告、责令整改、赔偿损失、限期调离当事人等决定。</w:t>
      </w:r>
    </w:p>
    <w:p w14:paraId="3A7385A4">
      <w:pPr>
        <w:spacing w:line="5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甲方对乙方管理进行全方位考核，并进行满意度测评，考核总分需达到90分以上、满意度应达到80%以上。如未达到相关考核标准，甲方有权根据考核标准对乙方进行处罚。</w:t>
      </w:r>
    </w:p>
    <w:p w14:paraId="0E1AD17B">
      <w:pPr>
        <w:spacing w:line="540" w:lineRule="exact"/>
        <w:ind w:firstLine="413" w:firstLineChars="196"/>
        <w:rPr>
          <w:rFonts w:hint="eastAsia" w:ascii="宋体" w:hAnsi="宋体" w:eastAsia="宋体" w:cs="宋体"/>
          <w:b/>
          <w:color w:val="auto"/>
          <w:sz w:val="21"/>
          <w:szCs w:val="21"/>
        </w:rPr>
      </w:pPr>
      <w:r>
        <w:rPr>
          <w:rFonts w:hint="eastAsia" w:ascii="宋体" w:hAnsi="宋体" w:eastAsia="宋体" w:cs="宋体"/>
          <w:b/>
          <w:color w:val="auto"/>
          <w:sz w:val="21"/>
          <w:szCs w:val="21"/>
        </w:rPr>
        <w:t>九、付款方法</w:t>
      </w:r>
    </w:p>
    <w:p w14:paraId="0D96A3DC">
      <w:pPr>
        <w:spacing w:line="540" w:lineRule="exact"/>
        <w:ind w:firstLine="422" w:firstLineChars="200"/>
        <w:rPr>
          <w:rFonts w:hint="eastAsia" w:ascii="宋体" w:hAnsi="宋体" w:eastAsia="宋体" w:cs="宋体"/>
          <w:b/>
          <w:bCs/>
          <w:color w:val="auto"/>
          <w:sz w:val="21"/>
          <w:szCs w:val="21"/>
          <w:highlight w:val="none"/>
        </w:rPr>
      </w:pPr>
      <w:r>
        <w:rPr>
          <w:rFonts w:hint="eastAsia" w:ascii="宋体" w:hAnsi="宋体" w:cs="宋体"/>
          <w:b/>
          <w:bCs/>
          <w:color w:val="auto"/>
          <w:szCs w:val="21"/>
          <w:highlight w:val="none"/>
          <w:lang w:val="zh-CN"/>
        </w:rPr>
        <w:t>合同签订，收到乙方发票十个工作日内甲方支付合同价的30%作为预付款</w:t>
      </w:r>
      <w:r>
        <w:rPr>
          <w:rFonts w:hint="eastAsia" w:ascii="宋体" w:hAnsi="宋体" w:cs="宋体"/>
          <w:b/>
          <w:bCs/>
          <w:color w:val="auto"/>
          <w:szCs w:val="21"/>
          <w:highlight w:val="none"/>
        </w:rPr>
        <w:t>；</w:t>
      </w:r>
      <w:r>
        <w:rPr>
          <w:rFonts w:hint="eastAsia" w:ascii="宋体" w:hAnsi="宋体" w:cs="宋体"/>
          <w:b/>
          <w:bCs/>
          <w:color w:val="auto"/>
          <w:szCs w:val="21"/>
          <w:highlight w:val="none"/>
          <w:lang w:eastAsia="zh-CN"/>
        </w:rPr>
        <w:t>剩余</w:t>
      </w:r>
      <w:r>
        <w:rPr>
          <w:rFonts w:hint="eastAsia" w:ascii="宋体" w:hAnsi="宋体" w:eastAsia="宋体" w:cs="宋体"/>
          <w:b/>
          <w:bCs/>
          <w:color w:val="auto"/>
          <w:sz w:val="21"/>
          <w:szCs w:val="21"/>
          <w:highlight w:val="none"/>
        </w:rPr>
        <w:t>服务费为按</w:t>
      </w:r>
      <w:r>
        <w:rPr>
          <w:rFonts w:hint="eastAsia" w:ascii="宋体" w:hAnsi="宋体" w:eastAsia="宋体" w:cs="宋体"/>
          <w:b/>
          <w:bCs/>
          <w:color w:val="auto"/>
          <w:sz w:val="21"/>
          <w:szCs w:val="21"/>
          <w:highlight w:val="none"/>
          <w:lang w:eastAsia="zh-CN"/>
        </w:rPr>
        <w:t>月</w:t>
      </w:r>
      <w:r>
        <w:rPr>
          <w:rFonts w:hint="eastAsia" w:ascii="宋体" w:hAnsi="宋体" w:eastAsia="宋体" w:cs="宋体"/>
          <w:b/>
          <w:bCs/>
          <w:color w:val="auto"/>
          <w:sz w:val="21"/>
          <w:szCs w:val="21"/>
          <w:highlight w:val="none"/>
        </w:rPr>
        <w:t>度转账支付，每</w:t>
      </w:r>
      <w:r>
        <w:rPr>
          <w:rFonts w:hint="eastAsia" w:ascii="宋体" w:hAnsi="宋体" w:eastAsia="宋体" w:cs="宋体"/>
          <w:b/>
          <w:bCs/>
          <w:color w:val="auto"/>
          <w:sz w:val="21"/>
          <w:szCs w:val="21"/>
          <w:highlight w:val="none"/>
          <w:lang w:eastAsia="zh-CN"/>
        </w:rPr>
        <w:t>月</w:t>
      </w:r>
      <w:r>
        <w:rPr>
          <w:rFonts w:hint="eastAsia" w:ascii="宋体" w:hAnsi="宋体" w:eastAsia="宋体" w:cs="宋体"/>
          <w:b/>
          <w:bCs/>
          <w:color w:val="auto"/>
          <w:sz w:val="21"/>
          <w:szCs w:val="21"/>
          <w:highlight w:val="none"/>
        </w:rPr>
        <w:t>度末</w:t>
      </w:r>
      <w:r>
        <w:rPr>
          <w:rFonts w:hint="eastAsia" w:ascii="宋体" w:hAnsi="宋体" w:eastAsia="宋体" w:cs="宋体"/>
          <w:b/>
          <w:bCs/>
          <w:color w:val="auto"/>
          <w:sz w:val="21"/>
          <w:szCs w:val="21"/>
          <w:highlight w:val="none"/>
          <w:lang w:eastAsia="zh-CN"/>
        </w:rPr>
        <w:t>乙方</w:t>
      </w:r>
      <w:r>
        <w:rPr>
          <w:rFonts w:hint="eastAsia" w:ascii="宋体" w:hAnsi="宋体" w:eastAsia="宋体" w:cs="宋体"/>
          <w:b/>
          <w:bCs/>
          <w:color w:val="auto"/>
          <w:sz w:val="21"/>
          <w:szCs w:val="21"/>
          <w:highlight w:val="none"/>
        </w:rPr>
        <w:t>将服务费发票提供给</w:t>
      </w:r>
      <w:r>
        <w:rPr>
          <w:rFonts w:hint="eastAsia" w:ascii="宋体" w:hAnsi="宋体" w:eastAsia="宋体" w:cs="宋体"/>
          <w:b/>
          <w:bCs/>
          <w:color w:val="auto"/>
          <w:sz w:val="21"/>
          <w:szCs w:val="21"/>
          <w:highlight w:val="none"/>
          <w:lang w:val="en-US" w:eastAsia="zh-CN"/>
        </w:rPr>
        <w:t>甲方</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甲方</w:t>
      </w:r>
      <w:r>
        <w:rPr>
          <w:rFonts w:hint="eastAsia" w:ascii="宋体" w:hAnsi="宋体" w:eastAsia="宋体" w:cs="宋体"/>
          <w:b/>
          <w:bCs/>
          <w:color w:val="auto"/>
          <w:sz w:val="21"/>
          <w:szCs w:val="21"/>
          <w:highlight w:val="none"/>
        </w:rPr>
        <w:t>按时通过银行将服务费支付给</w:t>
      </w:r>
      <w:r>
        <w:rPr>
          <w:rFonts w:hint="eastAsia" w:ascii="宋体" w:hAnsi="宋体" w:eastAsia="宋体" w:cs="宋体"/>
          <w:b/>
          <w:bCs/>
          <w:color w:val="auto"/>
          <w:sz w:val="21"/>
          <w:szCs w:val="21"/>
          <w:highlight w:val="none"/>
          <w:lang w:eastAsia="zh-CN"/>
        </w:rPr>
        <w:t>乙方</w:t>
      </w:r>
      <w:r>
        <w:rPr>
          <w:rFonts w:hint="eastAsia" w:ascii="宋体" w:hAnsi="宋体" w:eastAsia="宋体" w:cs="宋体"/>
          <w:b/>
          <w:bCs/>
          <w:color w:val="auto"/>
          <w:sz w:val="21"/>
          <w:szCs w:val="21"/>
          <w:highlight w:val="none"/>
        </w:rPr>
        <w:t>。服务费均通过银行结算。</w:t>
      </w:r>
      <w:r>
        <w:rPr>
          <w:rFonts w:hint="eastAsia" w:ascii="宋体" w:hAnsi="宋体" w:eastAsia="宋体" w:cs="宋体"/>
          <w:b/>
          <w:bCs/>
          <w:color w:val="auto"/>
          <w:sz w:val="21"/>
          <w:szCs w:val="21"/>
          <w:highlight w:val="none"/>
          <w:lang w:eastAsia="zh-CN"/>
        </w:rPr>
        <w:t>甲方</w:t>
      </w:r>
      <w:r>
        <w:rPr>
          <w:rFonts w:hint="eastAsia" w:ascii="宋体" w:hAnsi="宋体" w:eastAsia="宋体" w:cs="宋体"/>
          <w:b/>
          <w:bCs/>
          <w:color w:val="auto"/>
          <w:sz w:val="21"/>
          <w:szCs w:val="21"/>
          <w:highlight w:val="none"/>
        </w:rPr>
        <w:t>在收到</w:t>
      </w:r>
      <w:r>
        <w:rPr>
          <w:rFonts w:hint="eastAsia" w:ascii="宋体" w:hAnsi="宋体" w:eastAsia="宋体" w:cs="宋体"/>
          <w:b/>
          <w:bCs/>
          <w:color w:val="auto"/>
          <w:sz w:val="21"/>
          <w:szCs w:val="21"/>
          <w:highlight w:val="none"/>
          <w:lang w:eastAsia="zh-CN"/>
        </w:rPr>
        <w:t>乙方</w:t>
      </w:r>
      <w:r>
        <w:rPr>
          <w:rFonts w:hint="eastAsia" w:ascii="宋体" w:hAnsi="宋体" w:eastAsia="宋体" w:cs="宋体"/>
          <w:b/>
          <w:bCs/>
          <w:color w:val="auto"/>
          <w:sz w:val="21"/>
          <w:szCs w:val="21"/>
          <w:highlight w:val="none"/>
        </w:rPr>
        <w:t>发票后</w:t>
      </w:r>
      <w:r>
        <w:rPr>
          <w:rFonts w:hint="eastAsia" w:ascii="宋体" w:hAnsi="宋体" w:eastAsia="宋体" w:cs="宋体"/>
          <w:b/>
          <w:bCs/>
          <w:color w:val="auto"/>
          <w:sz w:val="21"/>
          <w:szCs w:val="21"/>
          <w:highlight w:val="none"/>
          <w:lang w:eastAsia="zh-CN"/>
        </w:rPr>
        <w:t>十</w:t>
      </w:r>
      <w:r>
        <w:rPr>
          <w:rFonts w:hint="eastAsia" w:ascii="宋体" w:hAnsi="宋体" w:eastAsia="宋体" w:cs="宋体"/>
          <w:b/>
          <w:bCs/>
          <w:color w:val="auto"/>
          <w:sz w:val="21"/>
          <w:szCs w:val="21"/>
          <w:highlight w:val="none"/>
        </w:rPr>
        <w:t>个工作日内前支付上</w:t>
      </w:r>
      <w:r>
        <w:rPr>
          <w:rFonts w:hint="eastAsia" w:ascii="宋体" w:hAnsi="宋体" w:eastAsia="宋体" w:cs="宋体"/>
          <w:b/>
          <w:bCs/>
          <w:color w:val="auto"/>
          <w:sz w:val="21"/>
          <w:szCs w:val="21"/>
          <w:highlight w:val="none"/>
          <w:lang w:eastAsia="zh-CN"/>
        </w:rPr>
        <w:t>月</w:t>
      </w:r>
      <w:r>
        <w:rPr>
          <w:rFonts w:hint="eastAsia" w:ascii="宋体" w:hAnsi="宋体" w:eastAsia="宋体" w:cs="宋体"/>
          <w:b/>
          <w:bCs/>
          <w:color w:val="auto"/>
          <w:sz w:val="21"/>
          <w:szCs w:val="21"/>
          <w:highlight w:val="none"/>
        </w:rPr>
        <w:t>度服务费用。</w:t>
      </w:r>
    </w:p>
    <w:p w14:paraId="41B91FDE">
      <w:pPr>
        <w:spacing w:line="540" w:lineRule="exact"/>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上</w:t>
      </w:r>
      <w:r>
        <w:rPr>
          <w:rFonts w:hint="eastAsia" w:ascii="宋体" w:hAnsi="宋体" w:eastAsia="宋体" w:cs="宋体"/>
          <w:b/>
          <w:bCs/>
          <w:color w:val="auto"/>
          <w:sz w:val="21"/>
          <w:szCs w:val="21"/>
          <w:highlight w:val="none"/>
          <w:lang w:eastAsia="zh-CN"/>
        </w:rPr>
        <w:t>月</w:t>
      </w:r>
      <w:r>
        <w:rPr>
          <w:rFonts w:hint="eastAsia" w:ascii="宋体" w:hAnsi="宋体" w:eastAsia="宋体" w:cs="宋体"/>
          <w:b/>
          <w:bCs/>
          <w:color w:val="auto"/>
          <w:sz w:val="21"/>
          <w:szCs w:val="21"/>
          <w:highlight w:val="none"/>
        </w:rPr>
        <w:t>度服务费=合同年服务费/</w:t>
      </w:r>
      <w:r>
        <w:rPr>
          <w:rFonts w:hint="eastAsia" w:ascii="宋体" w:hAnsi="宋体" w:eastAsia="宋体" w:cs="宋体"/>
          <w:b/>
          <w:bCs/>
          <w:color w:val="auto"/>
          <w:sz w:val="21"/>
          <w:szCs w:val="21"/>
          <w:highlight w:val="none"/>
          <w:lang w:val="en-US" w:eastAsia="zh-CN"/>
        </w:rPr>
        <w:t>12</w:t>
      </w:r>
      <w:r>
        <w:rPr>
          <w:rFonts w:hint="eastAsia" w:ascii="宋体" w:hAnsi="宋体" w:eastAsia="宋体" w:cs="宋体"/>
          <w:b/>
          <w:bCs/>
          <w:color w:val="auto"/>
          <w:sz w:val="21"/>
          <w:szCs w:val="21"/>
          <w:highlight w:val="none"/>
        </w:rPr>
        <w:t>*80%+满意度考核费用。</w:t>
      </w:r>
    </w:p>
    <w:p w14:paraId="19EA54A7">
      <w:pPr>
        <w:spacing w:line="540" w:lineRule="exact"/>
        <w:ind w:firstLine="422" w:firstLineChars="200"/>
        <w:rPr>
          <w:rFonts w:hint="eastAsia" w:ascii="宋体" w:hAnsi="宋体" w:eastAsia="宋体" w:cs="宋体"/>
          <w:color w:val="auto"/>
          <w:sz w:val="21"/>
          <w:szCs w:val="21"/>
          <w:highlight w:val="yellow"/>
          <w:lang w:eastAsia="zh-CN"/>
        </w:rPr>
      </w:pPr>
      <w:r>
        <w:rPr>
          <w:rFonts w:hint="eastAsia" w:ascii="宋体" w:hAnsi="宋体" w:eastAsia="宋体" w:cs="宋体"/>
          <w:b/>
          <w:bCs/>
          <w:color w:val="auto"/>
          <w:sz w:val="21"/>
          <w:szCs w:val="21"/>
          <w:highlight w:val="none"/>
        </w:rPr>
        <w:t>满意度考核。20%的服务费作为考核费用。满意度考核从菜肴、价格、卫生、安全等方面进行测评，满意度低于60%，不支付</w:t>
      </w:r>
      <w:r>
        <w:rPr>
          <w:rFonts w:hint="eastAsia" w:ascii="宋体" w:hAnsi="宋体" w:eastAsia="宋体" w:cs="宋体"/>
          <w:b/>
          <w:bCs/>
          <w:color w:val="auto"/>
          <w:sz w:val="21"/>
          <w:szCs w:val="21"/>
          <w:highlight w:val="none"/>
          <w:lang w:val="en-US" w:eastAsia="zh-CN"/>
        </w:rPr>
        <w:t>月</w:t>
      </w:r>
      <w:r>
        <w:rPr>
          <w:rFonts w:hint="eastAsia" w:ascii="宋体" w:hAnsi="宋体" w:eastAsia="宋体" w:cs="宋体"/>
          <w:b/>
          <w:bCs/>
          <w:color w:val="auto"/>
          <w:sz w:val="21"/>
          <w:szCs w:val="21"/>
          <w:highlight w:val="none"/>
        </w:rPr>
        <w:t>度满意度考核金；满意度达61%-75%，支付</w:t>
      </w:r>
      <w:r>
        <w:rPr>
          <w:rFonts w:hint="eastAsia" w:ascii="宋体" w:hAnsi="宋体" w:eastAsia="宋体" w:cs="宋体"/>
          <w:b/>
          <w:bCs/>
          <w:color w:val="auto"/>
          <w:sz w:val="21"/>
          <w:szCs w:val="21"/>
          <w:highlight w:val="none"/>
          <w:lang w:val="en-US" w:eastAsia="zh-CN"/>
        </w:rPr>
        <w:t>月</w:t>
      </w:r>
      <w:r>
        <w:rPr>
          <w:rFonts w:hint="eastAsia" w:ascii="宋体" w:hAnsi="宋体" w:eastAsia="宋体" w:cs="宋体"/>
          <w:b/>
          <w:bCs/>
          <w:color w:val="auto"/>
          <w:sz w:val="21"/>
          <w:szCs w:val="21"/>
          <w:highlight w:val="none"/>
        </w:rPr>
        <w:t>度满意度考核金的80%；满意度达76-85%，支付</w:t>
      </w:r>
      <w:r>
        <w:rPr>
          <w:rFonts w:hint="eastAsia" w:ascii="宋体" w:hAnsi="宋体" w:eastAsia="宋体" w:cs="宋体"/>
          <w:b/>
          <w:bCs/>
          <w:color w:val="auto"/>
          <w:sz w:val="21"/>
          <w:szCs w:val="21"/>
          <w:highlight w:val="none"/>
          <w:lang w:val="en-US" w:eastAsia="zh-CN"/>
        </w:rPr>
        <w:t>月</w:t>
      </w:r>
      <w:r>
        <w:rPr>
          <w:rFonts w:hint="eastAsia" w:ascii="宋体" w:hAnsi="宋体" w:eastAsia="宋体" w:cs="宋体"/>
          <w:b/>
          <w:bCs/>
          <w:color w:val="auto"/>
          <w:sz w:val="21"/>
          <w:szCs w:val="21"/>
          <w:highlight w:val="none"/>
        </w:rPr>
        <w:t>度满意度考核金的90%；满意度达85%及以上支付全额</w:t>
      </w:r>
      <w:r>
        <w:rPr>
          <w:rFonts w:hint="eastAsia" w:ascii="宋体" w:hAnsi="宋体" w:eastAsia="宋体" w:cs="宋体"/>
          <w:b/>
          <w:bCs/>
          <w:color w:val="auto"/>
          <w:sz w:val="21"/>
          <w:szCs w:val="21"/>
          <w:highlight w:val="none"/>
          <w:lang w:val="en-US" w:eastAsia="zh-CN"/>
        </w:rPr>
        <w:t>月</w:t>
      </w:r>
      <w:r>
        <w:rPr>
          <w:rFonts w:hint="eastAsia" w:ascii="宋体" w:hAnsi="宋体" w:eastAsia="宋体" w:cs="宋体"/>
          <w:b/>
          <w:bCs/>
          <w:color w:val="auto"/>
          <w:sz w:val="21"/>
          <w:szCs w:val="21"/>
          <w:highlight w:val="none"/>
        </w:rPr>
        <w:t>度满意度考核金。</w:t>
      </w:r>
    </w:p>
    <w:p w14:paraId="669ED9F5">
      <w:pPr>
        <w:autoSpaceDE w:val="0"/>
        <w:autoSpaceDN w:val="0"/>
        <w:adjustRightInd w:val="0"/>
        <w:spacing w:line="540" w:lineRule="exact"/>
        <w:ind w:left="420" w:leftChars="200"/>
        <w:rPr>
          <w:rFonts w:hint="eastAsia" w:ascii="宋体" w:hAnsi="宋体" w:eastAsia="宋体" w:cs="宋体"/>
          <w:color w:val="auto"/>
          <w:sz w:val="21"/>
          <w:szCs w:val="21"/>
        </w:rPr>
      </w:pPr>
      <w:r>
        <w:rPr>
          <w:rFonts w:hint="eastAsia" w:ascii="宋体" w:hAnsi="宋体" w:eastAsia="宋体" w:cs="宋体"/>
          <w:b/>
          <w:color w:val="auto"/>
          <w:sz w:val="21"/>
          <w:szCs w:val="21"/>
        </w:rPr>
        <w:t>十、违约责任</w:t>
      </w:r>
    </w:p>
    <w:p w14:paraId="19962C0D">
      <w:pPr>
        <w:spacing w:line="5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服务期间，双方不得擅自中断合同，如有异议，需提前一个月以书面形式通知对方。</w:t>
      </w:r>
    </w:p>
    <w:p w14:paraId="50A9D5F1">
      <w:pPr>
        <w:spacing w:line="5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乙方不得克扣食堂工作人员工资、社保及相关福利待遇等。如有发现，追究其相关责任。</w:t>
      </w:r>
    </w:p>
    <w:p w14:paraId="41B5A043">
      <w:pPr>
        <w:autoSpaceDE w:val="0"/>
        <w:autoSpaceDN w:val="0"/>
        <w:adjustRightInd w:val="0"/>
        <w:spacing w:line="540" w:lineRule="exact"/>
        <w:ind w:left="420" w:leftChars="150" w:hanging="105" w:hangingChars="50"/>
        <w:rPr>
          <w:rFonts w:hint="eastAsia" w:ascii="宋体" w:hAnsi="宋体" w:eastAsia="宋体" w:cs="宋体"/>
          <w:b/>
          <w:color w:val="auto"/>
          <w:sz w:val="21"/>
          <w:szCs w:val="21"/>
        </w:rPr>
      </w:pPr>
      <w:r>
        <w:rPr>
          <w:rFonts w:hint="eastAsia" w:ascii="宋体" w:hAnsi="宋体" w:eastAsia="宋体" w:cs="宋体"/>
          <w:b/>
          <w:color w:val="auto"/>
          <w:sz w:val="21"/>
          <w:szCs w:val="21"/>
        </w:rPr>
        <w:t>十一、争议解决</w:t>
      </w:r>
    </w:p>
    <w:p w14:paraId="0207C11C">
      <w:pPr>
        <w:autoSpaceDE w:val="0"/>
        <w:autoSpaceDN w:val="0"/>
        <w:adjustRightInd w:val="0"/>
        <w:spacing w:line="540" w:lineRule="exact"/>
        <w:ind w:firstLine="411" w:firstLineChars="196"/>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双方在执行合同中所发生的一切争议，应通过协商解决。如协商不成，可向合同签订地法院起诉，合同签订地在此约定为</w:t>
      </w:r>
      <w:r>
        <w:rPr>
          <w:rFonts w:hint="eastAsia" w:ascii="宋体" w:hAnsi="宋体" w:eastAsia="宋体" w:cs="宋体"/>
          <w:color w:val="auto"/>
          <w:sz w:val="21"/>
          <w:szCs w:val="21"/>
          <w:lang w:eastAsia="zh-CN"/>
        </w:rPr>
        <w:t>甲方所在地址</w:t>
      </w:r>
      <w:r>
        <w:rPr>
          <w:rFonts w:hint="eastAsia" w:ascii="宋体" w:hAnsi="宋体" w:eastAsia="宋体" w:cs="宋体"/>
          <w:color w:val="auto"/>
          <w:sz w:val="21"/>
          <w:szCs w:val="21"/>
        </w:rPr>
        <w:t>。</w:t>
      </w:r>
    </w:p>
    <w:p w14:paraId="257B60BD">
      <w:pPr>
        <w:autoSpaceDE w:val="0"/>
        <w:autoSpaceDN w:val="0"/>
        <w:adjustRightInd w:val="0"/>
        <w:spacing w:line="540" w:lineRule="exact"/>
        <w:ind w:left="420" w:leftChars="200"/>
        <w:rPr>
          <w:rFonts w:hint="eastAsia" w:ascii="宋体" w:hAnsi="宋体" w:eastAsia="宋体" w:cs="宋体"/>
          <w:b/>
          <w:color w:val="auto"/>
          <w:sz w:val="21"/>
          <w:szCs w:val="21"/>
        </w:rPr>
      </w:pPr>
      <w:r>
        <w:rPr>
          <w:rFonts w:hint="eastAsia" w:ascii="宋体" w:hAnsi="宋体" w:eastAsia="宋体" w:cs="宋体"/>
          <w:b/>
          <w:color w:val="auto"/>
          <w:sz w:val="21"/>
          <w:szCs w:val="21"/>
        </w:rPr>
        <w:t>十二、合同生效及其它</w:t>
      </w:r>
    </w:p>
    <w:p w14:paraId="3B7796B7">
      <w:pPr>
        <w:spacing w:line="5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合同由双方法定代表人或授权委托代表人签字并加盖单位公章，经集采机构备案后生效。</w:t>
      </w:r>
    </w:p>
    <w:p w14:paraId="4DFA057B">
      <w:pPr>
        <w:spacing w:line="5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本合同未尽事宜，遵照《</w:t>
      </w:r>
      <w:r>
        <w:rPr>
          <w:rFonts w:hint="eastAsia" w:ascii="宋体" w:hAnsi="宋体" w:eastAsia="宋体" w:cs="宋体"/>
          <w:color w:val="auto"/>
          <w:sz w:val="21"/>
          <w:szCs w:val="21"/>
          <w:lang w:eastAsia="zh-CN"/>
        </w:rPr>
        <w:t>中华人民共和国民法典</w:t>
      </w:r>
      <w:r>
        <w:rPr>
          <w:rFonts w:hint="eastAsia" w:ascii="宋体" w:hAnsi="宋体" w:eastAsia="宋体" w:cs="宋体"/>
          <w:color w:val="auto"/>
          <w:sz w:val="21"/>
          <w:szCs w:val="21"/>
        </w:rPr>
        <w:t>》有关条文执行。</w:t>
      </w:r>
    </w:p>
    <w:p w14:paraId="09748E1C">
      <w:pPr>
        <w:spacing w:line="5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本合同正本一式</w:t>
      </w:r>
      <w:r>
        <w:rPr>
          <w:rFonts w:hint="eastAsia" w:ascii="宋体" w:hAnsi="宋体" w:eastAsia="宋体" w:cs="宋体"/>
          <w:color w:val="auto"/>
          <w:sz w:val="21"/>
          <w:szCs w:val="21"/>
          <w:lang w:eastAsia="zh-CN"/>
        </w:rPr>
        <w:t>六</w:t>
      </w:r>
      <w:r>
        <w:rPr>
          <w:rFonts w:hint="eastAsia" w:ascii="宋体" w:hAnsi="宋体" w:eastAsia="宋体" w:cs="宋体"/>
          <w:color w:val="auto"/>
          <w:sz w:val="21"/>
          <w:szCs w:val="21"/>
        </w:rPr>
        <w:t>份，具有同等法律效力。</w:t>
      </w:r>
    </w:p>
    <w:p w14:paraId="19360051">
      <w:pPr>
        <w:autoSpaceDE w:val="0"/>
        <w:autoSpaceDN w:val="0"/>
        <w:adjustRightInd w:val="0"/>
        <w:spacing w:line="540" w:lineRule="exact"/>
        <w:ind w:left="525" w:leftChars="250" w:firstLine="105" w:firstLineChars="50"/>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                                   乙方： </w:t>
      </w:r>
    </w:p>
    <w:p w14:paraId="5E569B35">
      <w:pPr>
        <w:autoSpaceDE w:val="0"/>
        <w:autoSpaceDN w:val="0"/>
        <w:adjustRightInd w:val="0"/>
        <w:spacing w:line="540" w:lineRule="exact"/>
        <w:ind w:left="420" w:leftChars="150" w:hanging="105" w:hangingChars="50"/>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地址：                                   地址： </w:t>
      </w:r>
    </w:p>
    <w:p w14:paraId="3CB082D3">
      <w:pPr>
        <w:autoSpaceDE w:val="0"/>
        <w:autoSpaceDN w:val="0"/>
        <w:adjustRightInd w:val="0"/>
        <w:spacing w:line="540" w:lineRule="exact"/>
        <w:ind w:left="420" w:leftChars="150" w:hanging="105" w:hangingChars="50"/>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法定代表人或授权代表：                   法定代表人或授权代表：</w:t>
      </w:r>
    </w:p>
    <w:p w14:paraId="27229AF6">
      <w:pPr>
        <w:autoSpaceDE w:val="0"/>
        <w:autoSpaceDN w:val="0"/>
        <w:adjustRightInd w:val="0"/>
        <w:spacing w:line="540" w:lineRule="exact"/>
        <w:ind w:left="420" w:leftChars="150" w:hanging="105" w:hangingChars="50"/>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联系电话：                               联系电话：</w:t>
      </w:r>
    </w:p>
    <w:p w14:paraId="423512EF">
      <w:pPr>
        <w:autoSpaceDE w:val="0"/>
        <w:autoSpaceDN w:val="0"/>
        <w:adjustRightInd w:val="0"/>
        <w:spacing w:line="540" w:lineRule="exact"/>
        <w:ind w:left="420" w:leftChars="150" w:hanging="105" w:hangingChars="50"/>
        <w:rPr>
          <w:rFonts w:hint="eastAsia" w:ascii="宋体" w:hAnsi="宋体" w:eastAsia="宋体" w:cs="宋体"/>
          <w:color w:val="auto"/>
          <w:sz w:val="21"/>
          <w:szCs w:val="21"/>
        </w:rPr>
      </w:pPr>
    </w:p>
    <w:p w14:paraId="48138C90">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10" w:hanging="410"/>
        <w:jc w:val="righ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签订日期：    年  月  日</w:t>
      </w:r>
    </w:p>
    <w:p w14:paraId="4724E939">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黑体" w:hAnsi="宋体" w:eastAsia="黑体" w:cs="黑体"/>
          <w:color w:val="auto"/>
          <w:sz w:val="44"/>
          <w:szCs w:val="44"/>
          <w:highlight w:val="none"/>
        </w:rPr>
      </w:pPr>
      <w:bookmarkStart w:id="171" w:name="_Toc479757211"/>
      <w:bookmarkStart w:id="172" w:name="_Hlt16619350"/>
      <w:bookmarkStart w:id="173" w:name="_Toc20823346"/>
      <w:bookmarkStart w:id="174" w:name="_Toc120614244"/>
      <w:bookmarkStart w:id="175" w:name="_Toc16938590"/>
      <w:bookmarkStart w:id="176" w:name="_Toc462564139"/>
      <w:bookmarkStart w:id="177" w:name="_Hlt16619369"/>
    </w:p>
    <w:p w14:paraId="459614B4">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黑体" w:hAnsi="宋体" w:eastAsia="黑体" w:cs="黑体"/>
          <w:color w:val="auto"/>
          <w:sz w:val="44"/>
          <w:szCs w:val="44"/>
          <w:highlight w:val="none"/>
        </w:rPr>
      </w:pPr>
    </w:p>
    <w:p w14:paraId="346A15BB">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黑体" w:hAnsi="宋体" w:eastAsia="黑体" w:cs="黑体"/>
          <w:color w:val="auto"/>
          <w:sz w:val="44"/>
          <w:szCs w:val="44"/>
          <w:highlight w:val="none"/>
        </w:rPr>
      </w:pPr>
    </w:p>
    <w:p w14:paraId="6569786F">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黑体" w:hAnsi="宋体" w:eastAsia="黑体" w:cs="黑体"/>
          <w:color w:val="auto"/>
          <w:sz w:val="44"/>
          <w:szCs w:val="44"/>
          <w:highlight w:val="none"/>
        </w:rPr>
      </w:pPr>
    </w:p>
    <w:p w14:paraId="454B4E6A">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黑体" w:hAnsi="宋体" w:eastAsia="黑体" w:cs="黑体"/>
          <w:color w:val="auto"/>
          <w:sz w:val="44"/>
          <w:szCs w:val="44"/>
          <w:highlight w:val="none"/>
        </w:rPr>
      </w:pPr>
    </w:p>
    <w:p w14:paraId="5336F7D9">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黑体" w:hAnsi="宋体" w:eastAsia="黑体" w:cs="黑体"/>
          <w:color w:val="auto"/>
          <w:sz w:val="44"/>
          <w:szCs w:val="44"/>
          <w:highlight w:val="none"/>
        </w:rPr>
      </w:pPr>
    </w:p>
    <w:p w14:paraId="51EACE7C">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黑体" w:hAnsi="宋体" w:eastAsia="黑体" w:cs="黑体"/>
          <w:color w:val="auto"/>
          <w:sz w:val="44"/>
          <w:szCs w:val="44"/>
          <w:highlight w:val="none"/>
        </w:rPr>
      </w:pPr>
    </w:p>
    <w:p w14:paraId="07E3856D">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黑体" w:hAnsi="宋体" w:eastAsia="黑体" w:cs="黑体"/>
          <w:color w:val="auto"/>
          <w:sz w:val="44"/>
          <w:szCs w:val="44"/>
          <w:highlight w:val="none"/>
        </w:rPr>
      </w:pPr>
    </w:p>
    <w:p w14:paraId="332FDEDE">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黑体" w:hAnsi="宋体" w:eastAsia="黑体" w:cs="黑体"/>
          <w:color w:val="auto"/>
          <w:sz w:val="44"/>
          <w:szCs w:val="44"/>
          <w:highlight w:val="none"/>
        </w:rPr>
      </w:pPr>
    </w:p>
    <w:p w14:paraId="7FD881ED">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黑体" w:hAnsi="宋体" w:eastAsia="黑体" w:cs="黑体"/>
          <w:color w:val="auto"/>
          <w:sz w:val="44"/>
          <w:szCs w:val="44"/>
          <w:highlight w:val="none"/>
        </w:rPr>
      </w:pPr>
    </w:p>
    <w:p w14:paraId="6E7DAA7B">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黑体" w:hAnsi="宋体" w:eastAsia="黑体" w:cs="黑体"/>
          <w:color w:val="auto"/>
          <w:sz w:val="44"/>
          <w:szCs w:val="44"/>
          <w:highlight w:val="none"/>
        </w:rPr>
      </w:pPr>
    </w:p>
    <w:p w14:paraId="0FCF8B42">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color w:val="auto"/>
          <w:highlight w:val="none"/>
        </w:rPr>
      </w:pPr>
      <w:r>
        <w:rPr>
          <w:rFonts w:hint="eastAsia" w:ascii="黑体" w:hAnsi="宋体" w:eastAsia="黑体" w:cs="黑体"/>
          <w:color w:val="auto"/>
          <w:sz w:val="44"/>
          <w:szCs w:val="44"/>
          <w:highlight w:val="none"/>
        </w:rPr>
        <w:t>第</w:t>
      </w:r>
      <w:bookmarkEnd w:id="171"/>
      <w:r>
        <w:rPr>
          <w:rFonts w:hint="eastAsia" w:ascii="黑体" w:hAnsi="宋体" w:eastAsia="黑体" w:cs="黑体"/>
          <w:color w:val="auto"/>
          <w:sz w:val="44"/>
          <w:szCs w:val="44"/>
          <w:highlight w:val="none"/>
        </w:rPr>
        <w:t>四章 采购需求</w:t>
      </w:r>
      <w:bookmarkEnd w:id="172"/>
      <w:bookmarkEnd w:id="173"/>
      <w:bookmarkEnd w:id="174"/>
      <w:bookmarkEnd w:id="175"/>
      <w:bookmarkEnd w:id="176"/>
    </w:p>
    <w:p w14:paraId="3DBFB734">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b/>
          <w:bCs/>
          <w:color w:val="auto"/>
          <w:sz w:val="21"/>
          <w:szCs w:val="21"/>
          <w:highlight w:val="none"/>
          <w:lang w:val="en-US" w:eastAsia="zh-CN"/>
        </w:rPr>
      </w:pPr>
      <w:bookmarkStart w:id="178" w:name="_Toc49090575"/>
      <w:bookmarkStart w:id="179" w:name="_Toc26554093"/>
      <w:r>
        <w:rPr>
          <w:rFonts w:hint="eastAsia" w:ascii="宋体" w:hAnsi="宋体" w:eastAsia="宋体" w:cs="宋体"/>
          <w:b/>
          <w:bCs/>
          <w:color w:val="auto"/>
          <w:sz w:val="21"/>
          <w:szCs w:val="21"/>
          <w:highlight w:val="none"/>
        </w:rPr>
        <w:t>项目属性:服务类项目</w:t>
      </w:r>
      <w:bookmarkEnd w:id="178"/>
      <w:bookmarkEnd w:id="179"/>
    </w:p>
    <w:p w14:paraId="2BD5186C">
      <w:pPr>
        <w:numPr>
          <w:ilvl w:val="0"/>
          <w:numId w:val="1"/>
        </w:numPr>
        <w:spacing w:line="540" w:lineRule="exact"/>
        <w:ind w:firstLine="422" w:firstLineChars="200"/>
        <w:rPr>
          <w:rFonts w:hint="eastAsia" w:ascii="宋体" w:hAnsi="宋体" w:eastAsia="宋体" w:cs="Arial"/>
          <w:b/>
          <w:bCs/>
          <w:color w:val="auto"/>
          <w:kern w:val="0"/>
          <w:sz w:val="21"/>
          <w:szCs w:val="21"/>
        </w:rPr>
      </w:pPr>
      <w:r>
        <w:rPr>
          <w:rFonts w:hint="eastAsia" w:ascii="宋体" w:hAnsi="宋体" w:eastAsia="宋体" w:cs="Arial"/>
          <w:b/>
          <w:bCs/>
          <w:color w:val="auto"/>
          <w:kern w:val="0"/>
          <w:sz w:val="21"/>
          <w:szCs w:val="21"/>
        </w:rPr>
        <w:t>采购项目简要说明及人员配置需求</w:t>
      </w:r>
    </w:p>
    <w:p w14:paraId="13D049AF">
      <w:pPr>
        <w:numPr>
          <w:ilvl w:val="0"/>
          <w:numId w:val="0"/>
        </w:numPr>
        <w:spacing w:line="540" w:lineRule="exact"/>
        <w:ind w:firstLine="422" w:firstLineChars="200"/>
        <w:rPr>
          <w:rFonts w:ascii="宋体" w:hAnsi="宋体" w:cs="宋体"/>
          <w:b/>
          <w:color w:val="auto"/>
          <w:sz w:val="21"/>
          <w:szCs w:val="21"/>
        </w:rPr>
      </w:pPr>
      <w:r>
        <w:rPr>
          <w:rFonts w:hint="eastAsia" w:ascii="宋体" w:hAnsi="宋体" w:cs="宋体"/>
          <w:b/>
          <w:color w:val="auto"/>
          <w:sz w:val="21"/>
          <w:szCs w:val="21"/>
        </w:rPr>
        <w:t>1</w:t>
      </w:r>
      <w:r>
        <w:rPr>
          <w:rFonts w:hint="eastAsia" w:ascii="宋体" w:hAnsi="宋体" w:cs="宋体"/>
          <w:b/>
          <w:color w:val="auto"/>
          <w:sz w:val="21"/>
          <w:szCs w:val="21"/>
          <w:lang w:val="en-US" w:eastAsia="zh-CN"/>
        </w:rPr>
        <w:t>.</w:t>
      </w:r>
      <w:r>
        <w:rPr>
          <w:rFonts w:hint="eastAsia" w:ascii="宋体" w:hAnsi="宋体" w:cs="宋体"/>
          <w:b/>
          <w:color w:val="auto"/>
          <w:sz w:val="21"/>
          <w:szCs w:val="21"/>
        </w:rPr>
        <w:t>基本情况：</w:t>
      </w:r>
    </w:p>
    <w:p w14:paraId="58522B2C">
      <w:pPr>
        <w:autoSpaceDE w:val="0"/>
        <w:autoSpaceDN w:val="0"/>
        <w:adjustRightInd w:val="0"/>
        <w:spacing w:line="440" w:lineRule="exact"/>
        <w:ind w:firstLine="315" w:firstLineChars="150"/>
        <w:rPr>
          <w:rFonts w:hint="eastAsia" w:ascii="宋体" w:hAnsi="宋体"/>
          <w:color w:val="auto"/>
        </w:rPr>
      </w:pPr>
      <w:r>
        <w:rPr>
          <w:rFonts w:hint="eastAsia" w:ascii="宋体" w:hAnsi="宋体"/>
          <w:color w:val="auto"/>
          <w:highlight w:val="none"/>
        </w:rPr>
        <w:t>盐城市公安局</w:t>
      </w:r>
      <w:r>
        <w:rPr>
          <w:rFonts w:hint="eastAsia" w:ascii="宋体" w:hAnsi="宋体"/>
          <w:color w:val="auto"/>
          <w:highlight w:val="none"/>
          <w:lang w:eastAsia="zh-CN"/>
        </w:rPr>
        <w:t>盐南高新技术产业开发区分局</w:t>
      </w:r>
      <w:r>
        <w:rPr>
          <w:rFonts w:hint="eastAsia" w:ascii="宋体" w:hAnsi="宋体"/>
          <w:color w:val="auto"/>
          <w:highlight w:val="none"/>
        </w:rPr>
        <w:t>机关食堂</w:t>
      </w:r>
      <w:r>
        <w:rPr>
          <w:rFonts w:hint="eastAsia" w:ascii="宋体" w:hAnsi="宋体"/>
          <w:color w:val="auto"/>
          <w:highlight w:val="none"/>
          <w:lang w:eastAsia="zh-CN"/>
        </w:rPr>
        <w:t>就</w:t>
      </w:r>
      <w:r>
        <w:rPr>
          <w:rFonts w:hint="eastAsia" w:ascii="宋体" w:hAnsi="宋体"/>
          <w:color w:val="auto"/>
          <w:highlight w:val="none"/>
        </w:rPr>
        <w:t>餐</w:t>
      </w:r>
      <w:r>
        <w:rPr>
          <w:rFonts w:hint="eastAsia" w:ascii="宋体" w:hAnsi="宋体"/>
          <w:color w:val="auto"/>
          <w:highlight w:val="none"/>
          <w:lang w:val="en-US" w:eastAsia="zh-CN"/>
        </w:rPr>
        <w:t>220</w:t>
      </w:r>
      <w:r>
        <w:rPr>
          <w:rFonts w:hint="eastAsia" w:ascii="宋体" w:hAnsi="宋体"/>
          <w:color w:val="auto"/>
          <w:highlight w:val="none"/>
        </w:rPr>
        <w:t>座</w:t>
      </w:r>
      <w:r>
        <w:rPr>
          <w:rFonts w:hint="eastAsia" w:ascii="宋体" w:hAnsi="宋体"/>
          <w:color w:val="auto"/>
          <w:highlight w:val="none"/>
          <w:lang w:val="en-US" w:eastAsia="zh-CN"/>
        </w:rPr>
        <w:t>；分局执法办案中心</w:t>
      </w:r>
      <w:r>
        <w:rPr>
          <w:rFonts w:hint="eastAsia" w:ascii="宋体" w:hAnsi="宋体"/>
          <w:color w:val="auto"/>
          <w:highlight w:val="none"/>
          <w:lang w:eastAsia="zh-CN"/>
        </w:rPr>
        <w:t>食堂就</w:t>
      </w:r>
      <w:r>
        <w:rPr>
          <w:rFonts w:hint="eastAsia" w:ascii="宋体" w:hAnsi="宋体"/>
          <w:color w:val="auto"/>
          <w:highlight w:val="none"/>
        </w:rPr>
        <w:t>餐位</w:t>
      </w:r>
      <w:r>
        <w:rPr>
          <w:rFonts w:hint="eastAsia" w:ascii="宋体" w:hAnsi="宋体"/>
          <w:color w:val="auto"/>
          <w:highlight w:val="none"/>
          <w:lang w:val="en-US" w:eastAsia="zh-CN"/>
        </w:rPr>
        <w:t>60</w:t>
      </w:r>
      <w:r>
        <w:rPr>
          <w:rFonts w:hint="eastAsia" w:ascii="宋体" w:hAnsi="宋体"/>
          <w:color w:val="auto"/>
          <w:highlight w:val="none"/>
        </w:rPr>
        <w:t>座</w:t>
      </w:r>
      <w:r>
        <w:rPr>
          <w:rFonts w:hint="eastAsia" w:ascii="宋体" w:hAnsi="宋体"/>
          <w:color w:val="auto"/>
          <w:highlight w:val="none"/>
          <w:lang w:val="en-US" w:eastAsia="zh-CN"/>
        </w:rPr>
        <w:t>；新河</w:t>
      </w:r>
      <w:r>
        <w:rPr>
          <w:rFonts w:hint="eastAsia" w:ascii="宋体" w:hAnsi="宋体"/>
          <w:color w:val="auto"/>
          <w:highlight w:val="none"/>
          <w:lang w:eastAsia="zh-CN"/>
        </w:rPr>
        <w:t>警务站食堂就</w:t>
      </w:r>
      <w:r>
        <w:rPr>
          <w:rFonts w:hint="eastAsia" w:ascii="宋体" w:hAnsi="宋体"/>
          <w:color w:val="auto"/>
          <w:highlight w:val="none"/>
        </w:rPr>
        <w:t>餐位</w:t>
      </w:r>
      <w:r>
        <w:rPr>
          <w:rFonts w:hint="eastAsia" w:ascii="宋体" w:hAnsi="宋体"/>
          <w:color w:val="auto"/>
          <w:highlight w:val="none"/>
          <w:lang w:val="en-US" w:eastAsia="zh-CN"/>
        </w:rPr>
        <w:t>60</w:t>
      </w:r>
      <w:r>
        <w:rPr>
          <w:rFonts w:hint="eastAsia" w:ascii="宋体" w:hAnsi="宋体"/>
          <w:color w:val="auto"/>
          <w:highlight w:val="none"/>
        </w:rPr>
        <w:t>座</w:t>
      </w:r>
      <w:r>
        <w:rPr>
          <w:rFonts w:hint="eastAsia" w:ascii="宋体" w:hAnsi="宋体"/>
          <w:color w:val="auto"/>
        </w:rPr>
        <w:t>。</w:t>
      </w:r>
      <w:r>
        <w:rPr>
          <w:rFonts w:hint="eastAsia" w:ascii="宋体" w:hAnsi="宋体"/>
          <w:color w:val="auto"/>
          <w:lang w:eastAsia="zh-CN"/>
        </w:rPr>
        <w:t>三</w:t>
      </w:r>
      <w:r>
        <w:rPr>
          <w:rFonts w:hint="eastAsia" w:ascii="宋体" w:hAnsi="宋体"/>
          <w:color w:val="auto"/>
        </w:rPr>
        <w:t>个厨房需正常提供每日</w:t>
      </w:r>
      <w:r>
        <w:rPr>
          <w:rFonts w:hint="eastAsia" w:ascii="宋体" w:hAnsi="宋体"/>
          <w:color w:val="auto"/>
          <w:lang w:val="en-US" w:eastAsia="zh-CN"/>
        </w:rPr>
        <w:t>三</w:t>
      </w:r>
      <w:r>
        <w:rPr>
          <w:rFonts w:hint="eastAsia" w:ascii="宋体" w:hAnsi="宋体"/>
          <w:color w:val="auto"/>
        </w:rPr>
        <w:t>餐,每日就餐人次合计约</w:t>
      </w:r>
      <w:r>
        <w:rPr>
          <w:rFonts w:hint="eastAsia" w:ascii="宋体" w:hAnsi="宋体"/>
          <w:color w:val="auto"/>
          <w:lang w:val="en-US" w:eastAsia="zh-CN"/>
        </w:rPr>
        <w:t>为720</w:t>
      </w:r>
      <w:r>
        <w:rPr>
          <w:rFonts w:hint="eastAsia" w:ascii="宋体" w:hAnsi="宋体"/>
          <w:color w:val="auto"/>
        </w:rPr>
        <w:t>人。</w:t>
      </w:r>
    </w:p>
    <w:p w14:paraId="6EA3A86F">
      <w:pPr>
        <w:spacing w:line="400" w:lineRule="exact"/>
        <w:ind w:firstLine="420"/>
        <w:rPr>
          <w:rFonts w:ascii="宋体" w:hAnsi="宋体"/>
          <w:b/>
          <w:color w:val="auto"/>
        </w:rPr>
      </w:pPr>
      <w:r>
        <w:rPr>
          <w:rFonts w:hint="eastAsia" w:ascii="宋体" w:hAnsi="宋体"/>
          <w:b/>
          <w:color w:val="auto"/>
        </w:rPr>
        <w:t>1.1食堂就餐人数及时间</w:t>
      </w:r>
    </w:p>
    <w:p w14:paraId="4540CDDC">
      <w:pPr>
        <w:autoSpaceDE w:val="0"/>
        <w:autoSpaceDN w:val="0"/>
        <w:adjustRightInd w:val="0"/>
        <w:spacing w:line="440" w:lineRule="exact"/>
        <w:ind w:firstLine="316" w:firstLineChars="150"/>
        <w:rPr>
          <w:rFonts w:ascii="宋体" w:hAnsi="宋体"/>
          <w:b/>
          <w:bCs/>
          <w:color w:val="auto"/>
        </w:rPr>
      </w:pPr>
      <w:r>
        <w:rPr>
          <w:rFonts w:hint="eastAsia" w:ascii="宋体" w:hAnsi="宋体"/>
          <w:b/>
          <w:bCs/>
          <w:color w:val="auto"/>
        </w:rPr>
        <w:t>机关食堂：</w:t>
      </w:r>
    </w:p>
    <w:p w14:paraId="2C3F1912">
      <w:pPr>
        <w:autoSpaceDE w:val="0"/>
        <w:autoSpaceDN w:val="0"/>
        <w:adjustRightInd w:val="0"/>
        <w:spacing w:line="440" w:lineRule="exact"/>
        <w:ind w:firstLine="315" w:firstLineChars="150"/>
        <w:rPr>
          <w:rFonts w:hint="eastAsia" w:ascii="宋体" w:hAnsi="宋体"/>
          <w:color w:val="auto"/>
        </w:rPr>
      </w:pPr>
      <w:r>
        <w:rPr>
          <w:rFonts w:hint="eastAsia" w:ascii="宋体" w:hAnsi="宋体"/>
          <w:color w:val="auto"/>
        </w:rPr>
        <w:t>工作日每日就餐人数：早餐约</w:t>
      </w:r>
      <w:r>
        <w:rPr>
          <w:rFonts w:hint="eastAsia" w:ascii="宋体" w:hAnsi="宋体"/>
          <w:color w:val="auto"/>
          <w:lang w:val="en-US" w:eastAsia="zh-CN"/>
        </w:rPr>
        <w:t>100</w:t>
      </w:r>
      <w:r>
        <w:rPr>
          <w:rFonts w:hint="eastAsia" w:ascii="宋体" w:hAnsi="宋体"/>
          <w:color w:val="auto"/>
        </w:rPr>
        <w:t>人，午餐约</w:t>
      </w:r>
      <w:r>
        <w:rPr>
          <w:rFonts w:hint="eastAsia" w:ascii="宋体" w:hAnsi="宋体"/>
          <w:color w:val="auto"/>
          <w:lang w:val="en-US" w:eastAsia="zh-CN"/>
        </w:rPr>
        <w:t>220</w:t>
      </w:r>
      <w:r>
        <w:rPr>
          <w:rFonts w:hint="eastAsia" w:ascii="宋体" w:hAnsi="宋体"/>
          <w:color w:val="auto"/>
        </w:rPr>
        <w:t>人，晚餐约</w:t>
      </w:r>
      <w:r>
        <w:rPr>
          <w:rFonts w:hint="eastAsia" w:ascii="宋体" w:hAnsi="宋体"/>
          <w:color w:val="auto"/>
          <w:lang w:val="en-US" w:eastAsia="zh-CN"/>
        </w:rPr>
        <w:t>120</w:t>
      </w:r>
      <w:r>
        <w:rPr>
          <w:rFonts w:hint="eastAsia" w:ascii="宋体" w:hAnsi="宋体"/>
          <w:color w:val="auto"/>
        </w:rPr>
        <w:t>人；</w:t>
      </w:r>
    </w:p>
    <w:p w14:paraId="298076DD">
      <w:pPr>
        <w:autoSpaceDE w:val="0"/>
        <w:autoSpaceDN w:val="0"/>
        <w:adjustRightInd w:val="0"/>
        <w:spacing w:line="440" w:lineRule="exact"/>
        <w:ind w:firstLine="315" w:firstLineChars="150"/>
        <w:rPr>
          <w:rFonts w:hint="eastAsia" w:ascii="宋体" w:hAnsi="宋体"/>
          <w:color w:val="auto"/>
        </w:rPr>
      </w:pPr>
      <w:r>
        <w:rPr>
          <w:rFonts w:hint="eastAsia" w:ascii="宋体" w:hAnsi="宋体"/>
          <w:color w:val="auto"/>
        </w:rPr>
        <w:t>非工作日每日就餐人数：早餐约</w:t>
      </w:r>
      <w:r>
        <w:rPr>
          <w:rFonts w:hint="eastAsia" w:ascii="宋体" w:hAnsi="宋体"/>
          <w:color w:val="auto"/>
          <w:lang w:val="en-US" w:eastAsia="zh-CN"/>
        </w:rPr>
        <w:t>50</w:t>
      </w:r>
      <w:r>
        <w:rPr>
          <w:rFonts w:hint="eastAsia" w:ascii="宋体" w:hAnsi="宋体"/>
          <w:color w:val="auto"/>
        </w:rPr>
        <w:t>人，午餐约</w:t>
      </w:r>
      <w:r>
        <w:rPr>
          <w:rFonts w:hint="eastAsia" w:ascii="宋体" w:hAnsi="宋体"/>
          <w:color w:val="auto"/>
          <w:lang w:val="en-US" w:eastAsia="zh-CN"/>
        </w:rPr>
        <w:t>80</w:t>
      </w:r>
      <w:r>
        <w:rPr>
          <w:rFonts w:hint="eastAsia" w:ascii="宋体" w:hAnsi="宋体"/>
          <w:color w:val="auto"/>
        </w:rPr>
        <w:t>人，晚餐约</w:t>
      </w:r>
      <w:r>
        <w:rPr>
          <w:rFonts w:hint="eastAsia" w:ascii="宋体" w:hAnsi="宋体"/>
          <w:color w:val="auto"/>
          <w:lang w:val="en-US" w:eastAsia="zh-CN"/>
        </w:rPr>
        <w:t>80</w:t>
      </w:r>
      <w:r>
        <w:rPr>
          <w:rFonts w:hint="eastAsia" w:ascii="宋体" w:hAnsi="宋体"/>
          <w:color w:val="auto"/>
        </w:rPr>
        <w:t>人；</w:t>
      </w:r>
    </w:p>
    <w:p w14:paraId="3D573761">
      <w:pPr>
        <w:autoSpaceDE w:val="0"/>
        <w:autoSpaceDN w:val="0"/>
        <w:adjustRightInd w:val="0"/>
        <w:spacing w:line="440" w:lineRule="exact"/>
        <w:ind w:firstLine="315" w:firstLineChars="150"/>
        <w:rPr>
          <w:rFonts w:ascii="宋体" w:hAnsi="宋体"/>
          <w:color w:val="auto"/>
        </w:rPr>
      </w:pPr>
      <w:r>
        <w:rPr>
          <w:rFonts w:hint="eastAsia" w:ascii="宋体" w:hAnsi="宋体"/>
          <w:color w:val="auto"/>
        </w:rPr>
        <w:t>用餐时间为：早餐7：30-8:2</w:t>
      </w:r>
      <w:r>
        <w:rPr>
          <w:rFonts w:hint="eastAsia" w:ascii="宋体" w:hAnsi="宋体"/>
          <w:color w:val="auto"/>
          <w:lang w:val="en-US" w:eastAsia="zh-CN"/>
        </w:rPr>
        <w:t>5</w:t>
      </w:r>
      <w:r>
        <w:rPr>
          <w:rFonts w:hint="eastAsia" w:ascii="宋体" w:hAnsi="宋体"/>
          <w:color w:val="auto"/>
        </w:rPr>
        <w:t>；午餐为1</w:t>
      </w:r>
      <w:r>
        <w:rPr>
          <w:rFonts w:hint="eastAsia" w:ascii="宋体" w:hAnsi="宋体"/>
          <w:color w:val="auto"/>
          <w:lang w:val="en-US" w:eastAsia="zh-CN"/>
        </w:rPr>
        <w:t>1</w:t>
      </w:r>
      <w:r>
        <w:rPr>
          <w:rFonts w:hint="eastAsia" w:ascii="宋体" w:hAnsi="宋体"/>
          <w:color w:val="auto"/>
        </w:rPr>
        <w:t>:</w:t>
      </w:r>
      <w:r>
        <w:rPr>
          <w:rFonts w:hint="eastAsia" w:ascii="宋体" w:hAnsi="宋体"/>
          <w:color w:val="auto"/>
          <w:lang w:val="en-US" w:eastAsia="zh-CN"/>
        </w:rPr>
        <w:t>15</w:t>
      </w:r>
      <w:r>
        <w:rPr>
          <w:rFonts w:hint="eastAsia" w:ascii="宋体" w:hAnsi="宋体"/>
          <w:color w:val="auto"/>
        </w:rPr>
        <w:t>-1</w:t>
      </w:r>
      <w:r>
        <w:rPr>
          <w:rFonts w:hint="eastAsia" w:ascii="宋体" w:hAnsi="宋体"/>
          <w:color w:val="auto"/>
          <w:lang w:val="en-US" w:eastAsia="zh-CN"/>
        </w:rPr>
        <w:t>2</w:t>
      </w:r>
      <w:r>
        <w:rPr>
          <w:rFonts w:hint="eastAsia" w:ascii="宋体" w:hAnsi="宋体"/>
          <w:color w:val="auto"/>
        </w:rPr>
        <w:t>:</w:t>
      </w:r>
      <w:r>
        <w:rPr>
          <w:rFonts w:hint="eastAsia" w:ascii="宋体" w:hAnsi="宋体"/>
          <w:color w:val="auto"/>
          <w:lang w:val="en-US" w:eastAsia="zh-CN"/>
        </w:rPr>
        <w:t>4</w:t>
      </w:r>
      <w:r>
        <w:rPr>
          <w:rFonts w:hint="eastAsia" w:ascii="宋体" w:hAnsi="宋体"/>
          <w:color w:val="auto"/>
        </w:rPr>
        <w:t>0；晚餐为18:00-19:30；双休及法定节假日需正常供餐；（用餐时间为暂定）</w:t>
      </w:r>
    </w:p>
    <w:p w14:paraId="6615C68C">
      <w:pPr>
        <w:autoSpaceDE w:val="0"/>
        <w:autoSpaceDN w:val="0"/>
        <w:adjustRightInd w:val="0"/>
        <w:spacing w:line="440" w:lineRule="exact"/>
        <w:ind w:firstLine="316" w:firstLineChars="150"/>
        <w:rPr>
          <w:rFonts w:ascii="宋体" w:hAnsi="宋体"/>
          <w:b/>
          <w:bCs/>
          <w:color w:val="auto"/>
        </w:rPr>
      </w:pPr>
      <w:r>
        <w:rPr>
          <w:rFonts w:hint="eastAsia" w:ascii="宋体" w:hAnsi="宋体"/>
          <w:b/>
          <w:bCs/>
          <w:color w:val="auto"/>
          <w:highlight w:val="none"/>
          <w:lang w:val="en-US" w:eastAsia="zh-CN"/>
        </w:rPr>
        <w:t>分局执法办案中心</w:t>
      </w:r>
      <w:r>
        <w:rPr>
          <w:rFonts w:hint="eastAsia" w:ascii="宋体" w:hAnsi="宋体"/>
          <w:b/>
          <w:bCs/>
          <w:color w:val="auto"/>
          <w:lang w:eastAsia="zh-CN"/>
        </w:rPr>
        <w:t>食堂：</w:t>
      </w:r>
    </w:p>
    <w:p w14:paraId="78CFB60C">
      <w:pPr>
        <w:autoSpaceDE w:val="0"/>
        <w:autoSpaceDN w:val="0"/>
        <w:adjustRightInd w:val="0"/>
        <w:spacing w:line="440" w:lineRule="exact"/>
        <w:ind w:firstLine="315" w:firstLineChars="150"/>
        <w:rPr>
          <w:rFonts w:hint="eastAsia" w:ascii="宋体" w:hAnsi="宋体"/>
          <w:color w:val="auto"/>
        </w:rPr>
      </w:pPr>
      <w:r>
        <w:rPr>
          <w:rFonts w:hint="eastAsia" w:ascii="宋体" w:hAnsi="宋体"/>
          <w:color w:val="auto"/>
        </w:rPr>
        <w:t>工作日每日就餐人数：早餐约</w:t>
      </w:r>
      <w:r>
        <w:rPr>
          <w:rFonts w:hint="eastAsia" w:ascii="宋体" w:hAnsi="宋体"/>
          <w:color w:val="auto"/>
          <w:lang w:val="en-US" w:eastAsia="zh-CN"/>
        </w:rPr>
        <w:t>50</w:t>
      </w:r>
      <w:r>
        <w:rPr>
          <w:rFonts w:hint="eastAsia" w:ascii="宋体" w:hAnsi="宋体"/>
          <w:color w:val="auto"/>
        </w:rPr>
        <w:t>人，午餐约</w:t>
      </w:r>
      <w:r>
        <w:rPr>
          <w:rFonts w:hint="eastAsia" w:ascii="宋体" w:hAnsi="宋体"/>
          <w:color w:val="auto"/>
          <w:lang w:val="en-US" w:eastAsia="zh-CN"/>
        </w:rPr>
        <w:t>60</w:t>
      </w:r>
      <w:r>
        <w:rPr>
          <w:rFonts w:hint="eastAsia" w:ascii="宋体" w:hAnsi="宋体"/>
          <w:color w:val="auto"/>
        </w:rPr>
        <w:t>人，晚餐约</w:t>
      </w:r>
      <w:r>
        <w:rPr>
          <w:rFonts w:hint="eastAsia" w:ascii="宋体" w:hAnsi="宋体"/>
          <w:color w:val="auto"/>
          <w:lang w:val="en-US" w:eastAsia="zh-CN"/>
        </w:rPr>
        <w:t>50</w:t>
      </w:r>
      <w:r>
        <w:rPr>
          <w:rFonts w:hint="eastAsia" w:ascii="宋体" w:hAnsi="宋体"/>
          <w:color w:val="auto"/>
        </w:rPr>
        <w:t>人；</w:t>
      </w:r>
    </w:p>
    <w:p w14:paraId="70C5DB01">
      <w:pPr>
        <w:autoSpaceDE w:val="0"/>
        <w:autoSpaceDN w:val="0"/>
        <w:adjustRightInd w:val="0"/>
        <w:spacing w:line="440" w:lineRule="exact"/>
        <w:ind w:firstLine="315" w:firstLineChars="150"/>
        <w:rPr>
          <w:rFonts w:hint="eastAsia" w:ascii="宋体" w:hAnsi="宋体"/>
          <w:color w:val="auto"/>
        </w:rPr>
      </w:pPr>
      <w:r>
        <w:rPr>
          <w:rFonts w:hint="eastAsia" w:ascii="宋体" w:hAnsi="宋体"/>
          <w:color w:val="auto"/>
        </w:rPr>
        <w:t>非工作日每日就餐人数：早餐约</w:t>
      </w:r>
      <w:r>
        <w:rPr>
          <w:rFonts w:hint="eastAsia" w:ascii="宋体" w:hAnsi="宋体"/>
          <w:color w:val="auto"/>
          <w:lang w:val="en-US" w:eastAsia="zh-CN"/>
        </w:rPr>
        <w:t>40</w:t>
      </w:r>
      <w:r>
        <w:rPr>
          <w:rFonts w:hint="eastAsia" w:ascii="宋体" w:hAnsi="宋体"/>
          <w:color w:val="auto"/>
        </w:rPr>
        <w:t>人，午餐约</w:t>
      </w:r>
      <w:r>
        <w:rPr>
          <w:rFonts w:hint="eastAsia" w:ascii="宋体" w:hAnsi="宋体"/>
          <w:color w:val="auto"/>
          <w:lang w:val="en-US" w:eastAsia="zh-CN"/>
        </w:rPr>
        <w:t>40</w:t>
      </w:r>
      <w:r>
        <w:rPr>
          <w:rFonts w:hint="eastAsia" w:ascii="宋体" w:hAnsi="宋体"/>
          <w:color w:val="auto"/>
        </w:rPr>
        <w:t>人，晚餐约</w:t>
      </w:r>
      <w:r>
        <w:rPr>
          <w:rFonts w:hint="eastAsia" w:ascii="宋体" w:hAnsi="宋体"/>
          <w:color w:val="auto"/>
          <w:lang w:val="en-US" w:eastAsia="zh-CN"/>
        </w:rPr>
        <w:t>40</w:t>
      </w:r>
      <w:r>
        <w:rPr>
          <w:rFonts w:hint="eastAsia" w:ascii="宋体" w:hAnsi="宋体"/>
          <w:color w:val="auto"/>
        </w:rPr>
        <w:t>人；</w:t>
      </w:r>
    </w:p>
    <w:p w14:paraId="2886E539">
      <w:pPr>
        <w:autoSpaceDE w:val="0"/>
        <w:autoSpaceDN w:val="0"/>
        <w:adjustRightInd w:val="0"/>
        <w:spacing w:line="440" w:lineRule="exact"/>
        <w:ind w:firstLine="315" w:firstLineChars="150"/>
        <w:rPr>
          <w:rFonts w:ascii="宋体" w:hAnsi="宋体"/>
          <w:color w:val="auto"/>
        </w:rPr>
      </w:pPr>
      <w:r>
        <w:rPr>
          <w:rFonts w:hint="eastAsia" w:ascii="宋体" w:hAnsi="宋体"/>
          <w:color w:val="auto"/>
        </w:rPr>
        <w:t>用餐时间为：早餐7：30-8:20；午餐为11:45-13:15；晚餐为1</w:t>
      </w:r>
      <w:r>
        <w:rPr>
          <w:rFonts w:hint="eastAsia" w:ascii="宋体" w:hAnsi="宋体"/>
          <w:color w:val="auto"/>
          <w:lang w:val="en-US" w:eastAsia="zh-CN"/>
        </w:rPr>
        <w:t>8</w:t>
      </w:r>
      <w:r>
        <w:rPr>
          <w:rFonts w:hint="eastAsia" w:ascii="宋体" w:hAnsi="宋体"/>
          <w:color w:val="auto"/>
        </w:rPr>
        <w:t>:</w:t>
      </w:r>
      <w:r>
        <w:rPr>
          <w:rFonts w:hint="eastAsia" w:ascii="宋体" w:hAnsi="宋体"/>
          <w:color w:val="auto"/>
          <w:lang w:val="en-US" w:eastAsia="zh-CN"/>
        </w:rPr>
        <w:t>30</w:t>
      </w:r>
      <w:r>
        <w:rPr>
          <w:rFonts w:hint="eastAsia" w:ascii="宋体" w:hAnsi="宋体"/>
          <w:color w:val="auto"/>
        </w:rPr>
        <w:t>-19:</w:t>
      </w:r>
      <w:r>
        <w:rPr>
          <w:rFonts w:hint="eastAsia" w:ascii="宋体" w:hAnsi="宋体"/>
          <w:color w:val="auto"/>
          <w:lang w:val="en-US" w:eastAsia="zh-CN"/>
        </w:rPr>
        <w:t>2</w:t>
      </w:r>
      <w:r>
        <w:rPr>
          <w:rFonts w:hint="eastAsia" w:ascii="宋体" w:hAnsi="宋体"/>
          <w:color w:val="auto"/>
        </w:rPr>
        <w:t>5；双休及法定节假日需正常供餐；（用餐时间为暂定）</w:t>
      </w:r>
    </w:p>
    <w:p w14:paraId="6FC052BF">
      <w:pPr>
        <w:autoSpaceDE w:val="0"/>
        <w:autoSpaceDN w:val="0"/>
        <w:adjustRightInd w:val="0"/>
        <w:spacing w:line="440" w:lineRule="exact"/>
        <w:ind w:firstLine="316" w:firstLineChars="150"/>
        <w:rPr>
          <w:rFonts w:ascii="宋体" w:hAnsi="宋体"/>
          <w:b/>
          <w:bCs/>
          <w:color w:val="auto"/>
        </w:rPr>
      </w:pPr>
      <w:r>
        <w:rPr>
          <w:rFonts w:hint="eastAsia" w:ascii="宋体" w:hAnsi="宋体"/>
          <w:b/>
          <w:bCs/>
          <w:color w:val="auto"/>
          <w:highlight w:val="none"/>
          <w:lang w:val="en-US" w:eastAsia="zh-CN"/>
        </w:rPr>
        <w:t>新河</w:t>
      </w:r>
      <w:r>
        <w:rPr>
          <w:rFonts w:hint="eastAsia" w:ascii="宋体" w:hAnsi="宋体"/>
          <w:b/>
          <w:bCs/>
          <w:color w:val="auto"/>
          <w:highlight w:val="none"/>
          <w:lang w:eastAsia="zh-CN"/>
        </w:rPr>
        <w:t>警务站食堂</w:t>
      </w:r>
      <w:r>
        <w:rPr>
          <w:rFonts w:hint="eastAsia" w:ascii="宋体" w:hAnsi="宋体"/>
          <w:b/>
          <w:bCs/>
          <w:color w:val="auto"/>
          <w:lang w:eastAsia="zh-CN"/>
        </w:rPr>
        <w:t>：</w:t>
      </w:r>
    </w:p>
    <w:p w14:paraId="7C4A8846">
      <w:pPr>
        <w:autoSpaceDE w:val="0"/>
        <w:autoSpaceDN w:val="0"/>
        <w:adjustRightInd w:val="0"/>
        <w:spacing w:line="440" w:lineRule="exact"/>
        <w:ind w:firstLine="315" w:firstLineChars="150"/>
        <w:rPr>
          <w:rFonts w:hint="eastAsia" w:ascii="宋体" w:hAnsi="宋体"/>
          <w:color w:val="auto"/>
        </w:rPr>
      </w:pPr>
      <w:r>
        <w:rPr>
          <w:rFonts w:hint="eastAsia" w:ascii="宋体" w:hAnsi="宋体"/>
          <w:color w:val="auto"/>
        </w:rPr>
        <w:t>工作日每日就餐人数：早餐约</w:t>
      </w:r>
      <w:r>
        <w:rPr>
          <w:rFonts w:hint="eastAsia" w:ascii="宋体" w:hAnsi="宋体"/>
          <w:color w:val="auto"/>
          <w:lang w:val="en-US" w:eastAsia="zh-CN"/>
        </w:rPr>
        <w:t>55</w:t>
      </w:r>
      <w:r>
        <w:rPr>
          <w:rFonts w:hint="eastAsia" w:ascii="宋体" w:hAnsi="宋体"/>
          <w:color w:val="auto"/>
        </w:rPr>
        <w:t>人，午餐约</w:t>
      </w:r>
      <w:r>
        <w:rPr>
          <w:rFonts w:hint="eastAsia" w:ascii="宋体" w:hAnsi="宋体"/>
          <w:color w:val="auto"/>
          <w:lang w:val="en-US" w:eastAsia="zh-CN"/>
        </w:rPr>
        <w:t>70</w:t>
      </w:r>
      <w:r>
        <w:rPr>
          <w:rFonts w:hint="eastAsia" w:ascii="宋体" w:hAnsi="宋体"/>
          <w:color w:val="auto"/>
        </w:rPr>
        <w:t>人，晚餐约</w:t>
      </w:r>
      <w:r>
        <w:rPr>
          <w:rFonts w:hint="eastAsia" w:ascii="宋体" w:hAnsi="宋体"/>
          <w:color w:val="auto"/>
          <w:lang w:val="en-US" w:eastAsia="zh-CN"/>
        </w:rPr>
        <w:t>55</w:t>
      </w:r>
      <w:r>
        <w:rPr>
          <w:rFonts w:hint="eastAsia" w:ascii="宋体" w:hAnsi="宋体"/>
          <w:color w:val="auto"/>
        </w:rPr>
        <w:t>人；</w:t>
      </w:r>
    </w:p>
    <w:p w14:paraId="3D7F6C4C">
      <w:pPr>
        <w:autoSpaceDE w:val="0"/>
        <w:autoSpaceDN w:val="0"/>
        <w:adjustRightInd w:val="0"/>
        <w:spacing w:line="440" w:lineRule="exact"/>
        <w:ind w:firstLine="315" w:firstLineChars="150"/>
        <w:rPr>
          <w:rFonts w:hint="eastAsia" w:ascii="宋体" w:hAnsi="宋体"/>
          <w:color w:val="auto"/>
        </w:rPr>
      </w:pPr>
      <w:r>
        <w:rPr>
          <w:rFonts w:hint="eastAsia" w:ascii="宋体" w:hAnsi="宋体"/>
          <w:color w:val="auto"/>
        </w:rPr>
        <w:t>非工作日每日就餐人数：早餐约</w:t>
      </w:r>
      <w:r>
        <w:rPr>
          <w:rFonts w:hint="eastAsia" w:ascii="宋体" w:hAnsi="宋体"/>
          <w:color w:val="auto"/>
          <w:lang w:val="en-US" w:eastAsia="zh-CN"/>
        </w:rPr>
        <w:t>40</w:t>
      </w:r>
      <w:r>
        <w:rPr>
          <w:rFonts w:hint="eastAsia" w:ascii="宋体" w:hAnsi="宋体"/>
          <w:color w:val="auto"/>
        </w:rPr>
        <w:t>人，午餐约</w:t>
      </w:r>
      <w:r>
        <w:rPr>
          <w:rFonts w:hint="eastAsia" w:ascii="宋体" w:hAnsi="宋体"/>
          <w:color w:val="auto"/>
          <w:lang w:val="en-US" w:eastAsia="zh-CN"/>
        </w:rPr>
        <w:t>65</w:t>
      </w:r>
      <w:r>
        <w:rPr>
          <w:rFonts w:hint="eastAsia" w:ascii="宋体" w:hAnsi="宋体"/>
          <w:color w:val="auto"/>
        </w:rPr>
        <w:t>人，晚餐约</w:t>
      </w:r>
      <w:r>
        <w:rPr>
          <w:rFonts w:hint="eastAsia" w:ascii="宋体" w:hAnsi="宋体"/>
          <w:color w:val="auto"/>
          <w:lang w:val="en-US" w:eastAsia="zh-CN"/>
        </w:rPr>
        <w:t>50</w:t>
      </w:r>
      <w:r>
        <w:rPr>
          <w:rFonts w:hint="eastAsia" w:ascii="宋体" w:hAnsi="宋体"/>
          <w:color w:val="auto"/>
        </w:rPr>
        <w:t>人；</w:t>
      </w:r>
    </w:p>
    <w:p w14:paraId="11936D9D">
      <w:pPr>
        <w:autoSpaceDE w:val="0"/>
        <w:autoSpaceDN w:val="0"/>
        <w:adjustRightInd w:val="0"/>
        <w:spacing w:line="440" w:lineRule="exact"/>
        <w:ind w:firstLine="315" w:firstLineChars="150"/>
        <w:rPr>
          <w:rFonts w:hint="eastAsia" w:ascii="宋体" w:hAnsi="宋体"/>
          <w:b/>
          <w:bCs/>
          <w:color w:val="auto"/>
          <w:lang w:eastAsia="zh-CN"/>
        </w:rPr>
      </w:pPr>
      <w:r>
        <w:rPr>
          <w:rFonts w:hint="eastAsia" w:ascii="宋体" w:hAnsi="宋体"/>
          <w:color w:val="auto"/>
        </w:rPr>
        <w:t>用餐时间为：早餐</w:t>
      </w:r>
      <w:r>
        <w:rPr>
          <w:rFonts w:hint="eastAsia" w:ascii="宋体" w:hAnsi="宋体"/>
          <w:color w:val="auto"/>
          <w:lang w:val="en-US" w:eastAsia="zh-CN"/>
        </w:rPr>
        <w:t>6</w:t>
      </w:r>
      <w:r>
        <w:rPr>
          <w:rFonts w:hint="eastAsia" w:ascii="宋体" w:hAnsi="宋体"/>
          <w:color w:val="auto"/>
        </w:rPr>
        <w:t>：30-</w:t>
      </w:r>
      <w:r>
        <w:rPr>
          <w:rFonts w:hint="eastAsia" w:ascii="宋体" w:hAnsi="宋体"/>
          <w:color w:val="auto"/>
          <w:lang w:val="en-US" w:eastAsia="zh-CN"/>
        </w:rPr>
        <w:t>7</w:t>
      </w:r>
      <w:r>
        <w:rPr>
          <w:rFonts w:hint="eastAsia" w:ascii="宋体" w:hAnsi="宋体"/>
          <w:color w:val="auto"/>
        </w:rPr>
        <w:t>:20；午餐为11</w:t>
      </w:r>
      <w:r>
        <w:rPr>
          <w:rFonts w:hint="eastAsia" w:ascii="宋体" w:hAnsi="宋体"/>
          <w:color w:val="auto"/>
          <w:lang w:eastAsia="zh-CN"/>
        </w:rPr>
        <w:t>：</w:t>
      </w:r>
      <w:r>
        <w:rPr>
          <w:rFonts w:hint="eastAsia" w:ascii="宋体" w:hAnsi="宋体"/>
          <w:color w:val="auto"/>
          <w:lang w:val="en-US" w:eastAsia="zh-CN"/>
        </w:rPr>
        <w:t>30</w:t>
      </w:r>
      <w:r>
        <w:rPr>
          <w:rFonts w:hint="eastAsia" w:ascii="宋体" w:hAnsi="宋体"/>
          <w:color w:val="auto"/>
        </w:rPr>
        <w:t>-1</w:t>
      </w:r>
      <w:r>
        <w:rPr>
          <w:rFonts w:hint="eastAsia" w:ascii="宋体" w:hAnsi="宋体"/>
          <w:color w:val="auto"/>
          <w:lang w:val="en-US" w:eastAsia="zh-CN"/>
        </w:rPr>
        <w:t>2</w:t>
      </w:r>
      <w:r>
        <w:rPr>
          <w:rFonts w:hint="eastAsia" w:ascii="宋体" w:hAnsi="宋体"/>
          <w:color w:val="auto"/>
        </w:rPr>
        <w:t>:</w:t>
      </w:r>
      <w:r>
        <w:rPr>
          <w:rFonts w:hint="eastAsia" w:ascii="宋体" w:hAnsi="宋体"/>
          <w:color w:val="auto"/>
          <w:lang w:val="en-US" w:eastAsia="zh-CN"/>
        </w:rPr>
        <w:t>45</w:t>
      </w:r>
      <w:r>
        <w:rPr>
          <w:rFonts w:hint="eastAsia" w:ascii="宋体" w:hAnsi="宋体"/>
          <w:color w:val="auto"/>
        </w:rPr>
        <w:t>；晚餐为17:</w:t>
      </w:r>
      <w:r>
        <w:rPr>
          <w:rFonts w:hint="eastAsia" w:ascii="宋体" w:hAnsi="宋体"/>
          <w:color w:val="auto"/>
          <w:lang w:val="en-US" w:eastAsia="zh-CN"/>
        </w:rPr>
        <w:t>30</w:t>
      </w:r>
      <w:r>
        <w:rPr>
          <w:rFonts w:hint="eastAsia" w:ascii="宋体" w:hAnsi="宋体"/>
          <w:color w:val="auto"/>
        </w:rPr>
        <w:t>-19:15；双休及法定节假日需正常供餐；（用餐时间为暂定）</w:t>
      </w:r>
    </w:p>
    <w:p w14:paraId="74D01AFC">
      <w:pPr>
        <w:spacing w:line="540" w:lineRule="exact"/>
        <w:ind w:firstLine="422" w:firstLineChars="200"/>
        <w:rPr>
          <w:rFonts w:ascii="宋体" w:hAnsi="宋体" w:cs="宋体"/>
          <w:color w:val="auto"/>
          <w:sz w:val="24"/>
        </w:rPr>
      </w:pPr>
      <w:r>
        <w:rPr>
          <w:rFonts w:hint="eastAsia" w:ascii="宋体" w:hAnsi="宋体"/>
          <w:b/>
          <w:bCs/>
          <w:color w:val="auto"/>
        </w:rPr>
        <w:t>注：由于</w:t>
      </w:r>
      <w:r>
        <w:rPr>
          <w:rFonts w:hint="eastAsia" w:ascii="宋体" w:hAnsi="宋体"/>
          <w:b/>
          <w:bCs/>
          <w:color w:val="auto"/>
          <w:lang w:val="en-US" w:eastAsia="zh-CN"/>
        </w:rPr>
        <w:t>招标</w:t>
      </w:r>
      <w:r>
        <w:rPr>
          <w:rFonts w:hint="eastAsia" w:ascii="宋体" w:hAnsi="宋体"/>
          <w:b/>
          <w:bCs/>
          <w:color w:val="auto"/>
        </w:rPr>
        <w:t>人工作的特殊性，上述食堂365天均需提供用餐服务，用餐人数没有确定性，所涉及的相关费用应全部考虑在项目报价内，</w:t>
      </w:r>
      <w:r>
        <w:rPr>
          <w:rFonts w:hint="eastAsia" w:ascii="宋体" w:hAnsi="宋体"/>
          <w:b/>
          <w:bCs/>
          <w:color w:val="auto"/>
          <w:lang w:val="en-US" w:eastAsia="zh-CN"/>
        </w:rPr>
        <w:t>招标</w:t>
      </w:r>
      <w:r>
        <w:rPr>
          <w:rFonts w:hint="eastAsia" w:ascii="宋体" w:hAnsi="宋体"/>
          <w:b/>
          <w:bCs/>
          <w:color w:val="auto"/>
          <w:lang w:eastAsia="zh-CN"/>
        </w:rPr>
        <w:t>人</w:t>
      </w:r>
      <w:r>
        <w:rPr>
          <w:rFonts w:hint="eastAsia" w:ascii="宋体" w:hAnsi="宋体"/>
          <w:b/>
          <w:bCs/>
          <w:color w:val="auto"/>
        </w:rPr>
        <w:t>不再另行增加费用。</w:t>
      </w:r>
    </w:p>
    <w:p w14:paraId="72D6AE65">
      <w:pPr>
        <w:spacing w:line="400" w:lineRule="exact"/>
        <w:ind w:firstLine="420"/>
        <w:rPr>
          <w:rFonts w:ascii="宋体" w:hAnsi="宋体"/>
          <w:b/>
          <w:color w:val="auto"/>
        </w:rPr>
      </w:pPr>
      <w:r>
        <w:rPr>
          <w:rFonts w:hint="eastAsia" w:ascii="宋体" w:hAnsi="宋体"/>
          <w:b/>
          <w:color w:val="auto"/>
        </w:rPr>
        <w:t>1.2食堂供应标准：</w:t>
      </w:r>
    </w:p>
    <w:p w14:paraId="4D9AA79F">
      <w:pPr>
        <w:autoSpaceDE w:val="0"/>
        <w:autoSpaceDN w:val="0"/>
        <w:adjustRightInd w:val="0"/>
        <w:spacing w:line="440" w:lineRule="exact"/>
        <w:ind w:firstLine="422" w:firstLineChars="200"/>
        <w:rPr>
          <w:rFonts w:ascii="宋体" w:hAnsi="宋体"/>
          <w:b/>
          <w:bCs/>
          <w:color w:val="auto"/>
          <w:highlight w:val="none"/>
        </w:rPr>
      </w:pPr>
      <w:r>
        <w:rPr>
          <w:rFonts w:hint="eastAsia" w:ascii="宋体" w:hAnsi="宋体"/>
          <w:b/>
          <w:bCs/>
          <w:color w:val="auto"/>
          <w:highlight w:val="none"/>
        </w:rPr>
        <w:t>机关食堂：</w:t>
      </w:r>
    </w:p>
    <w:p w14:paraId="072550A4">
      <w:pPr>
        <w:autoSpaceDE w:val="0"/>
        <w:autoSpaceDN w:val="0"/>
        <w:adjustRightInd w:val="0"/>
        <w:spacing w:line="440" w:lineRule="exact"/>
        <w:ind w:firstLine="417" w:firstLineChars="198"/>
        <w:rPr>
          <w:rFonts w:hint="eastAsia" w:ascii="宋体" w:hAnsi="宋体"/>
          <w:color w:val="auto"/>
          <w:highlight w:val="none"/>
        </w:rPr>
      </w:pPr>
      <w:r>
        <w:rPr>
          <w:rFonts w:hint="eastAsia" w:ascii="宋体" w:hAnsi="宋体"/>
          <w:b/>
          <w:bCs/>
          <w:color w:val="auto"/>
          <w:highlight w:val="none"/>
        </w:rPr>
        <w:t>早餐：</w:t>
      </w:r>
      <w:r>
        <w:rPr>
          <w:rFonts w:hint="eastAsia" w:ascii="宋体" w:hAnsi="宋体"/>
          <w:color w:val="auto"/>
          <w:highlight w:val="none"/>
        </w:rPr>
        <w:t>稀饭类1种、面</w:t>
      </w:r>
      <w:r>
        <w:rPr>
          <w:rFonts w:hint="eastAsia" w:ascii="宋体" w:hAnsi="宋体"/>
          <w:color w:val="auto"/>
          <w:highlight w:val="none"/>
          <w:lang w:val="en-US" w:eastAsia="zh-CN"/>
        </w:rPr>
        <w:t>条1种</w:t>
      </w:r>
      <w:r>
        <w:rPr>
          <w:rFonts w:hint="eastAsia" w:ascii="宋体" w:hAnsi="宋体"/>
          <w:color w:val="auto"/>
          <w:highlight w:val="none"/>
        </w:rPr>
        <w:t>、点心</w:t>
      </w:r>
      <w:r>
        <w:rPr>
          <w:rFonts w:hint="eastAsia" w:ascii="宋体" w:hAnsi="宋体"/>
          <w:color w:val="auto"/>
          <w:highlight w:val="none"/>
          <w:lang w:val="en-US" w:eastAsia="zh-CN"/>
        </w:rPr>
        <w:t>4</w:t>
      </w:r>
      <w:r>
        <w:rPr>
          <w:rFonts w:hint="eastAsia" w:ascii="宋体" w:hAnsi="宋体"/>
          <w:color w:val="auto"/>
          <w:highlight w:val="none"/>
        </w:rPr>
        <w:t>种、杂粮1种、鸡蛋、豆浆、蔬菜2种、调味小菜</w:t>
      </w:r>
      <w:r>
        <w:rPr>
          <w:rFonts w:hint="eastAsia" w:ascii="宋体" w:hAnsi="宋体"/>
          <w:color w:val="auto"/>
          <w:highlight w:val="none"/>
          <w:lang w:val="en-US" w:eastAsia="zh-CN"/>
        </w:rPr>
        <w:t>3</w:t>
      </w:r>
      <w:r>
        <w:rPr>
          <w:rFonts w:hint="eastAsia" w:ascii="宋体" w:hAnsi="宋体"/>
          <w:color w:val="auto"/>
          <w:highlight w:val="none"/>
        </w:rPr>
        <w:t>种；</w:t>
      </w:r>
    </w:p>
    <w:p w14:paraId="32B9FD19">
      <w:pPr>
        <w:autoSpaceDE w:val="0"/>
        <w:autoSpaceDN w:val="0"/>
        <w:adjustRightInd w:val="0"/>
        <w:spacing w:line="440" w:lineRule="exact"/>
        <w:ind w:firstLine="417" w:firstLineChars="198"/>
        <w:rPr>
          <w:rFonts w:ascii="宋体" w:hAnsi="宋体"/>
          <w:b/>
          <w:bCs/>
          <w:color w:val="auto"/>
          <w:highlight w:val="none"/>
        </w:rPr>
      </w:pPr>
      <w:r>
        <w:rPr>
          <w:rFonts w:hint="eastAsia" w:ascii="宋体" w:hAnsi="宋体"/>
          <w:b/>
          <w:bCs/>
          <w:color w:val="auto"/>
          <w:highlight w:val="none"/>
        </w:rPr>
        <w:t>午餐：</w:t>
      </w:r>
      <w:r>
        <w:rPr>
          <w:rFonts w:hint="eastAsia" w:ascii="宋体" w:hAnsi="宋体"/>
          <w:color w:val="auto"/>
          <w:highlight w:val="none"/>
        </w:rPr>
        <w:t>米饭、</w:t>
      </w:r>
      <w:r>
        <w:rPr>
          <w:rFonts w:hint="eastAsia" w:ascii="宋体" w:hAnsi="宋体"/>
          <w:color w:val="auto"/>
          <w:highlight w:val="none"/>
          <w:lang w:val="en-US" w:eastAsia="zh-CN"/>
        </w:rPr>
        <w:t>面食1种</w:t>
      </w:r>
      <w:r>
        <w:rPr>
          <w:rFonts w:hint="eastAsia" w:ascii="宋体" w:hAnsi="宋体"/>
          <w:color w:val="auto"/>
          <w:highlight w:val="none"/>
        </w:rPr>
        <w:t>、汤类</w:t>
      </w:r>
      <w:r>
        <w:rPr>
          <w:rFonts w:hint="eastAsia" w:ascii="宋体" w:hAnsi="宋体"/>
          <w:color w:val="auto"/>
          <w:highlight w:val="none"/>
          <w:lang w:val="en-US" w:eastAsia="zh-CN"/>
        </w:rPr>
        <w:t>2</w:t>
      </w:r>
      <w:r>
        <w:rPr>
          <w:rFonts w:hint="eastAsia" w:ascii="宋体" w:hAnsi="宋体"/>
          <w:color w:val="auto"/>
          <w:highlight w:val="none"/>
        </w:rPr>
        <w:t>种、杂粮1种、炒菜</w:t>
      </w:r>
      <w:r>
        <w:rPr>
          <w:rFonts w:hint="eastAsia" w:ascii="宋体" w:hAnsi="宋体"/>
          <w:color w:val="auto"/>
          <w:highlight w:val="none"/>
          <w:lang w:val="en-US" w:eastAsia="zh-CN"/>
        </w:rPr>
        <w:t>6</w:t>
      </w:r>
      <w:r>
        <w:rPr>
          <w:rFonts w:hint="eastAsia" w:ascii="宋体" w:hAnsi="宋体"/>
          <w:color w:val="auto"/>
          <w:highlight w:val="none"/>
        </w:rPr>
        <w:t>种（4荤</w:t>
      </w:r>
      <w:r>
        <w:rPr>
          <w:rFonts w:hint="eastAsia" w:ascii="宋体" w:hAnsi="宋体"/>
          <w:color w:val="auto"/>
          <w:highlight w:val="none"/>
          <w:lang w:val="en-US" w:eastAsia="zh-CN"/>
        </w:rPr>
        <w:t>2</w:t>
      </w:r>
      <w:r>
        <w:rPr>
          <w:rFonts w:hint="eastAsia" w:ascii="宋体" w:hAnsi="宋体"/>
          <w:color w:val="auto"/>
          <w:highlight w:val="none"/>
        </w:rPr>
        <w:t>素）、调味小菜</w:t>
      </w:r>
      <w:r>
        <w:rPr>
          <w:rFonts w:hint="eastAsia" w:ascii="宋体" w:hAnsi="宋体"/>
          <w:color w:val="auto"/>
          <w:highlight w:val="none"/>
          <w:lang w:val="en-US" w:eastAsia="zh-CN"/>
        </w:rPr>
        <w:t>3</w:t>
      </w:r>
      <w:r>
        <w:rPr>
          <w:rFonts w:hint="eastAsia" w:ascii="宋体" w:hAnsi="宋体"/>
          <w:color w:val="auto"/>
          <w:highlight w:val="none"/>
        </w:rPr>
        <w:t>种、果</w:t>
      </w:r>
      <w:r>
        <w:rPr>
          <w:rFonts w:hint="eastAsia" w:ascii="宋体" w:hAnsi="宋体"/>
          <w:color w:val="auto"/>
          <w:highlight w:val="none"/>
          <w:lang w:val="en-US" w:eastAsia="zh-CN"/>
        </w:rPr>
        <w:t>蔬2</w:t>
      </w:r>
      <w:r>
        <w:rPr>
          <w:rFonts w:hint="eastAsia" w:ascii="宋体" w:hAnsi="宋体"/>
          <w:color w:val="auto"/>
          <w:highlight w:val="none"/>
        </w:rPr>
        <w:t>种；</w:t>
      </w:r>
    </w:p>
    <w:p w14:paraId="7ACBC294">
      <w:pPr>
        <w:autoSpaceDE w:val="0"/>
        <w:autoSpaceDN w:val="0"/>
        <w:adjustRightInd w:val="0"/>
        <w:spacing w:line="440" w:lineRule="exact"/>
        <w:ind w:firstLine="417" w:firstLineChars="198"/>
        <w:rPr>
          <w:rFonts w:ascii="宋体" w:hAnsi="宋体"/>
          <w:b/>
          <w:bCs/>
          <w:color w:val="auto"/>
          <w:highlight w:val="yellow"/>
        </w:rPr>
      </w:pPr>
      <w:r>
        <w:rPr>
          <w:rFonts w:hint="eastAsia" w:ascii="宋体" w:hAnsi="宋体"/>
          <w:b/>
          <w:bCs/>
          <w:color w:val="auto"/>
          <w:highlight w:val="none"/>
        </w:rPr>
        <w:t>晚餐：</w:t>
      </w:r>
      <w:r>
        <w:rPr>
          <w:rFonts w:hint="eastAsia" w:ascii="宋体" w:hAnsi="宋体"/>
          <w:color w:val="auto"/>
          <w:highlight w:val="none"/>
        </w:rPr>
        <w:t>稀饭类1种、炒菜</w:t>
      </w:r>
      <w:r>
        <w:rPr>
          <w:rFonts w:hint="eastAsia" w:ascii="宋体" w:hAnsi="宋体"/>
          <w:color w:val="auto"/>
          <w:highlight w:val="none"/>
          <w:lang w:val="en-US" w:eastAsia="zh-CN"/>
        </w:rPr>
        <w:t>6</w:t>
      </w:r>
      <w:r>
        <w:rPr>
          <w:rFonts w:hint="eastAsia" w:ascii="宋体" w:hAnsi="宋体"/>
          <w:color w:val="auto"/>
          <w:highlight w:val="none"/>
        </w:rPr>
        <w:t>种（4荤</w:t>
      </w:r>
      <w:r>
        <w:rPr>
          <w:rFonts w:hint="eastAsia" w:ascii="宋体" w:hAnsi="宋体"/>
          <w:color w:val="auto"/>
          <w:highlight w:val="none"/>
          <w:lang w:val="en-US" w:eastAsia="zh-CN"/>
        </w:rPr>
        <w:t>2</w:t>
      </w:r>
      <w:r>
        <w:rPr>
          <w:rFonts w:hint="eastAsia" w:ascii="宋体" w:hAnsi="宋体"/>
          <w:color w:val="auto"/>
          <w:highlight w:val="none"/>
        </w:rPr>
        <w:t>素）、调味小菜</w:t>
      </w:r>
      <w:r>
        <w:rPr>
          <w:rFonts w:hint="eastAsia" w:ascii="宋体" w:hAnsi="宋体"/>
          <w:color w:val="auto"/>
          <w:highlight w:val="none"/>
          <w:lang w:val="en-US" w:eastAsia="zh-CN"/>
        </w:rPr>
        <w:t>3</w:t>
      </w:r>
      <w:r>
        <w:rPr>
          <w:rFonts w:hint="eastAsia" w:ascii="宋体" w:hAnsi="宋体"/>
          <w:color w:val="auto"/>
          <w:highlight w:val="none"/>
        </w:rPr>
        <w:t>种；</w:t>
      </w:r>
    </w:p>
    <w:p w14:paraId="219EFD33">
      <w:pPr>
        <w:autoSpaceDE w:val="0"/>
        <w:autoSpaceDN w:val="0"/>
        <w:adjustRightInd w:val="0"/>
        <w:spacing w:line="440" w:lineRule="exact"/>
        <w:ind w:firstLine="422" w:firstLineChars="200"/>
        <w:rPr>
          <w:rFonts w:hint="default" w:ascii="宋体" w:hAnsi="宋体" w:eastAsia="宋体"/>
          <w:b/>
          <w:bCs/>
          <w:color w:val="auto"/>
          <w:highlight w:val="none"/>
          <w:lang w:val="en-US" w:eastAsia="zh-CN"/>
        </w:rPr>
      </w:pPr>
      <w:r>
        <w:rPr>
          <w:rFonts w:hint="eastAsia" w:ascii="宋体" w:hAnsi="宋体"/>
          <w:b/>
          <w:bCs/>
          <w:color w:val="auto"/>
          <w:highlight w:val="none"/>
          <w:lang w:val="en-US" w:eastAsia="zh-CN"/>
        </w:rPr>
        <w:t>分局执法办案中心</w:t>
      </w:r>
      <w:r>
        <w:rPr>
          <w:rFonts w:hint="eastAsia" w:ascii="宋体" w:hAnsi="宋体"/>
          <w:b/>
          <w:bCs/>
          <w:color w:val="auto"/>
          <w:highlight w:val="none"/>
        </w:rPr>
        <w:t>食堂：</w:t>
      </w:r>
    </w:p>
    <w:p w14:paraId="311BB71B">
      <w:pPr>
        <w:autoSpaceDE w:val="0"/>
        <w:autoSpaceDN w:val="0"/>
        <w:adjustRightInd w:val="0"/>
        <w:spacing w:line="440" w:lineRule="exact"/>
        <w:ind w:firstLine="417" w:firstLineChars="198"/>
        <w:rPr>
          <w:rFonts w:ascii="宋体" w:hAnsi="宋体"/>
          <w:b/>
          <w:bCs/>
          <w:color w:val="auto"/>
          <w:highlight w:val="none"/>
        </w:rPr>
      </w:pPr>
      <w:r>
        <w:rPr>
          <w:rFonts w:hint="eastAsia" w:ascii="宋体" w:hAnsi="宋体"/>
          <w:b/>
          <w:bCs/>
          <w:color w:val="auto"/>
          <w:highlight w:val="none"/>
        </w:rPr>
        <w:t>早餐：</w:t>
      </w:r>
      <w:r>
        <w:rPr>
          <w:rFonts w:hint="eastAsia" w:ascii="宋体" w:hAnsi="宋体"/>
          <w:color w:val="auto"/>
          <w:highlight w:val="none"/>
        </w:rPr>
        <w:t>稀饭类1种、面条</w:t>
      </w:r>
      <w:r>
        <w:rPr>
          <w:rFonts w:hint="eastAsia" w:ascii="宋体" w:hAnsi="宋体"/>
          <w:color w:val="auto"/>
          <w:highlight w:val="none"/>
          <w:lang w:val="en-US" w:eastAsia="zh-CN"/>
        </w:rPr>
        <w:t>1</w:t>
      </w:r>
      <w:r>
        <w:rPr>
          <w:rFonts w:hint="eastAsia" w:ascii="宋体" w:hAnsi="宋体"/>
          <w:color w:val="auto"/>
          <w:highlight w:val="none"/>
        </w:rPr>
        <w:t>种、点心3种、杂粮1种、鸡蛋、豆浆、蔬菜2种、调味小菜2种；</w:t>
      </w:r>
    </w:p>
    <w:p w14:paraId="62CB8DBC">
      <w:pPr>
        <w:autoSpaceDE w:val="0"/>
        <w:autoSpaceDN w:val="0"/>
        <w:adjustRightInd w:val="0"/>
        <w:spacing w:line="440" w:lineRule="exact"/>
        <w:ind w:firstLine="417" w:firstLineChars="198"/>
        <w:rPr>
          <w:rFonts w:ascii="宋体" w:hAnsi="宋体"/>
          <w:b/>
          <w:bCs/>
          <w:color w:val="auto"/>
          <w:highlight w:val="none"/>
        </w:rPr>
      </w:pPr>
      <w:r>
        <w:rPr>
          <w:rFonts w:hint="eastAsia" w:ascii="宋体" w:hAnsi="宋体"/>
          <w:b/>
          <w:bCs/>
          <w:color w:val="auto"/>
          <w:highlight w:val="none"/>
        </w:rPr>
        <w:t>中餐：</w:t>
      </w:r>
      <w:r>
        <w:rPr>
          <w:rFonts w:hint="eastAsia" w:ascii="宋体" w:hAnsi="宋体"/>
          <w:color w:val="auto"/>
          <w:highlight w:val="none"/>
        </w:rPr>
        <w:t>米饭、汤类</w:t>
      </w:r>
      <w:r>
        <w:rPr>
          <w:rFonts w:hint="eastAsia" w:ascii="宋体" w:hAnsi="宋体"/>
          <w:color w:val="auto"/>
          <w:highlight w:val="none"/>
          <w:lang w:val="en-US" w:eastAsia="zh-CN"/>
        </w:rPr>
        <w:t>2</w:t>
      </w:r>
      <w:r>
        <w:rPr>
          <w:rFonts w:hint="eastAsia" w:ascii="宋体" w:hAnsi="宋体"/>
          <w:color w:val="auto"/>
          <w:highlight w:val="none"/>
        </w:rPr>
        <w:t>种、、炒菜</w:t>
      </w:r>
      <w:r>
        <w:rPr>
          <w:rFonts w:hint="eastAsia" w:ascii="宋体" w:hAnsi="宋体"/>
          <w:color w:val="auto"/>
          <w:highlight w:val="none"/>
          <w:lang w:val="en-US" w:eastAsia="zh-CN"/>
        </w:rPr>
        <w:t>6</w:t>
      </w:r>
      <w:r>
        <w:rPr>
          <w:rFonts w:hint="eastAsia" w:ascii="宋体" w:hAnsi="宋体"/>
          <w:color w:val="auto"/>
          <w:highlight w:val="none"/>
        </w:rPr>
        <w:t>种（4荤</w:t>
      </w:r>
      <w:r>
        <w:rPr>
          <w:rFonts w:hint="eastAsia" w:ascii="宋体" w:hAnsi="宋体"/>
          <w:color w:val="auto"/>
          <w:highlight w:val="none"/>
          <w:lang w:val="en-US" w:eastAsia="zh-CN"/>
        </w:rPr>
        <w:t>2</w:t>
      </w:r>
      <w:r>
        <w:rPr>
          <w:rFonts w:hint="eastAsia" w:ascii="宋体" w:hAnsi="宋体"/>
          <w:color w:val="auto"/>
          <w:highlight w:val="none"/>
        </w:rPr>
        <w:t>素</w:t>
      </w:r>
      <w:r>
        <w:rPr>
          <w:rFonts w:hint="eastAsia" w:ascii="宋体" w:hAnsi="宋体"/>
          <w:color w:val="auto"/>
          <w:highlight w:val="none"/>
          <w:lang w:eastAsia="zh-CN"/>
        </w:rPr>
        <w:t>）</w:t>
      </w:r>
      <w:r>
        <w:rPr>
          <w:rFonts w:hint="eastAsia" w:ascii="宋体" w:hAnsi="宋体"/>
          <w:color w:val="auto"/>
          <w:highlight w:val="none"/>
        </w:rPr>
        <w:t>，调味小菜2种、水果1种；</w:t>
      </w:r>
    </w:p>
    <w:p w14:paraId="668D3001">
      <w:pPr>
        <w:autoSpaceDE w:val="0"/>
        <w:autoSpaceDN w:val="0"/>
        <w:adjustRightInd w:val="0"/>
        <w:spacing w:line="440" w:lineRule="exact"/>
        <w:ind w:firstLine="417" w:firstLineChars="198"/>
        <w:rPr>
          <w:rFonts w:hint="eastAsia" w:ascii="宋体" w:hAnsi="宋体"/>
          <w:b/>
          <w:bCs/>
          <w:color w:val="auto"/>
          <w:sz w:val="28"/>
          <w:szCs w:val="28"/>
          <w:highlight w:val="none"/>
          <w:lang w:eastAsia="zh-CN"/>
        </w:rPr>
      </w:pPr>
      <w:r>
        <w:rPr>
          <w:rFonts w:hint="eastAsia" w:ascii="宋体" w:hAnsi="宋体"/>
          <w:b/>
          <w:bCs/>
          <w:color w:val="auto"/>
          <w:highlight w:val="none"/>
        </w:rPr>
        <w:t>晚餐：</w:t>
      </w:r>
      <w:r>
        <w:rPr>
          <w:rFonts w:hint="eastAsia" w:ascii="宋体" w:hAnsi="宋体"/>
          <w:color w:val="auto"/>
          <w:highlight w:val="none"/>
        </w:rPr>
        <w:t>稀饭类1种、炒菜</w:t>
      </w:r>
      <w:r>
        <w:rPr>
          <w:rFonts w:hint="eastAsia" w:ascii="宋体" w:hAnsi="宋体"/>
          <w:color w:val="auto"/>
          <w:highlight w:val="none"/>
          <w:lang w:val="en-US" w:eastAsia="zh-CN"/>
        </w:rPr>
        <w:t>6</w:t>
      </w:r>
      <w:r>
        <w:rPr>
          <w:rFonts w:hint="eastAsia" w:ascii="宋体" w:hAnsi="宋体"/>
          <w:color w:val="auto"/>
          <w:highlight w:val="none"/>
        </w:rPr>
        <w:t>种（4荤</w:t>
      </w:r>
      <w:r>
        <w:rPr>
          <w:rFonts w:hint="eastAsia" w:ascii="宋体" w:hAnsi="宋体"/>
          <w:color w:val="auto"/>
          <w:highlight w:val="none"/>
          <w:lang w:val="en-US" w:eastAsia="zh-CN"/>
        </w:rPr>
        <w:t>2</w:t>
      </w:r>
      <w:r>
        <w:rPr>
          <w:rFonts w:hint="eastAsia" w:ascii="宋体" w:hAnsi="宋体"/>
          <w:color w:val="auto"/>
          <w:highlight w:val="none"/>
        </w:rPr>
        <w:t>素</w:t>
      </w:r>
      <w:r>
        <w:rPr>
          <w:rFonts w:hint="eastAsia" w:ascii="宋体" w:hAnsi="宋体"/>
          <w:color w:val="auto"/>
          <w:highlight w:val="none"/>
          <w:lang w:eastAsia="zh-CN"/>
        </w:rPr>
        <w:t>）</w:t>
      </w:r>
      <w:r>
        <w:rPr>
          <w:rFonts w:hint="eastAsia" w:ascii="宋体" w:hAnsi="宋体"/>
          <w:color w:val="auto"/>
          <w:highlight w:val="none"/>
        </w:rPr>
        <w:t>，调味小菜2种</w:t>
      </w:r>
      <w:r>
        <w:rPr>
          <w:rFonts w:hint="eastAsia" w:ascii="宋体" w:hAnsi="宋体"/>
          <w:color w:val="auto"/>
          <w:highlight w:val="none"/>
          <w:lang w:eastAsia="zh-CN"/>
        </w:rPr>
        <w:t>，</w:t>
      </w:r>
      <w:r>
        <w:rPr>
          <w:rFonts w:hint="eastAsia" w:ascii="宋体" w:hAnsi="宋体"/>
          <w:color w:val="auto"/>
          <w:highlight w:val="none"/>
        </w:rPr>
        <w:t>水果1种；</w:t>
      </w:r>
    </w:p>
    <w:p w14:paraId="4DCDA57C">
      <w:pPr>
        <w:autoSpaceDE w:val="0"/>
        <w:autoSpaceDN w:val="0"/>
        <w:adjustRightInd w:val="0"/>
        <w:spacing w:line="440" w:lineRule="exact"/>
        <w:ind w:firstLine="422" w:firstLineChars="200"/>
        <w:rPr>
          <w:rFonts w:hint="eastAsia" w:ascii="宋体" w:hAnsi="宋体" w:eastAsia="宋体"/>
          <w:b/>
          <w:bCs/>
          <w:color w:val="auto"/>
          <w:highlight w:val="none"/>
          <w:lang w:eastAsia="zh-CN"/>
        </w:rPr>
      </w:pPr>
      <w:r>
        <w:rPr>
          <w:rFonts w:hint="eastAsia" w:ascii="宋体" w:hAnsi="宋体"/>
          <w:b/>
          <w:bCs/>
          <w:color w:val="auto"/>
          <w:highlight w:val="none"/>
          <w:lang w:val="en-US" w:eastAsia="zh-CN"/>
        </w:rPr>
        <w:t>新河警务站</w:t>
      </w:r>
      <w:r>
        <w:rPr>
          <w:rFonts w:hint="eastAsia" w:ascii="宋体" w:hAnsi="宋体"/>
          <w:b/>
          <w:bCs/>
          <w:color w:val="auto"/>
          <w:highlight w:val="none"/>
        </w:rPr>
        <w:t>食堂：</w:t>
      </w:r>
    </w:p>
    <w:p w14:paraId="1EDD33DE">
      <w:pPr>
        <w:autoSpaceDE w:val="0"/>
        <w:autoSpaceDN w:val="0"/>
        <w:adjustRightInd w:val="0"/>
        <w:spacing w:line="440" w:lineRule="exact"/>
        <w:ind w:firstLine="417" w:firstLineChars="198"/>
        <w:rPr>
          <w:rFonts w:ascii="宋体" w:hAnsi="宋体"/>
          <w:b/>
          <w:bCs/>
          <w:color w:val="auto"/>
          <w:highlight w:val="none"/>
        </w:rPr>
      </w:pPr>
      <w:r>
        <w:rPr>
          <w:rFonts w:hint="eastAsia" w:ascii="宋体" w:hAnsi="宋体"/>
          <w:b/>
          <w:bCs/>
          <w:color w:val="auto"/>
          <w:highlight w:val="none"/>
        </w:rPr>
        <w:t>早餐：</w:t>
      </w:r>
      <w:r>
        <w:rPr>
          <w:rFonts w:hint="eastAsia" w:ascii="宋体" w:hAnsi="宋体"/>
          <w:color w:val="auto"/>
          <w:highlight w:val="none"/>
        </w:rPr>
        <w:t>稀饭类1种、面条2种、点心3种、杂粮1种、鸡蛋、豆浆、蔬菜2种、调味小菜2种；</w:t>
      </w:r>
    </w:p>
    <w:p w14:paraId="1C7D7B35">
      <w:pPr>
        <w:autoSpaceDE w:val="0"/>
        <w:autoSpaceDN w:val="0"/>
        <w:adjustRightInd w:val="0"/>
        <w:spacing w:line="440" w:lineRule="exact"/>
        <w:ind w:firstLine="417" w:firstLineChars="198"/>
        <w:rPr>
          <w:rFonts w:ascii="宋体" w:hAnsi="宋体"/>
          <w:b/>
          <w:bCs/>
          <w:color w:val="auto"/>
          <w:highlight w:val="none"/>
        </w:rPr>
      </w:pPr>
      <w:r>
        <w:rPr>
          <w:rFonts w:hint="eastAsia" w:ascii="宋体" w:hAnsi="宋体"/>
          <w:b/>
          <w:bCs/>
          <w:color w:val="auto"/>
          <w:highlight w:val="none"/>
        </w:rPr>
        <w:t>中餐：</w:t>
      </w:r>
      <w:r>
        <w:rPr>
          <w:rFonts w:hint="eastAsia" w:ascii="宋体" w:hAnsi="宋体"/>
          <w:color w:val="auto"/>
          <w:highlight w:val="none"/>
        </w:rPr>
        <w:t>米饭、汤类3种、炒菜</w:t>
      </w:r>
      <w:r>
        <w:rPr>
          <w:rFonts w:hint="eastAsia" w:ascii="宋体" w:hAnsi="宋体"/>
          <w:color w:val="auto"/>
          <w:highlight w:val="none"/>
          <w:lang w:val="en-US" w:eastAsia="zh-CN"/>
        </w:rPr>
        <w:t>6</w:t>
      </w:r>
      <w:r>
        <w:rPr>
          <w:rFonts w:hint="eastAsia" w:ascii="宋体" w:hAnsi="宋体"/>
          <w:color w:val="auto"/>
          <w:highlight w:val="none"/>
        </w:rPr>
        <w:t>种（4荤</w:t>
      </w:r>
      <w:r>
        <w:rPr>
          <w:rFonts w:hint="eastAsia" w:ascii="宋体" w:hAnsi="宋体"/>
          <w:color w:val="auto"/>
          <w:highlight w:val="none"/>
          <w:lang w:val="en-US" w:eastAsia="zh-CN"/>
        </w:rPr>
        <w:t>2</w:t>
      </w:r>
      <w:r>
        <w:rPr>
          <w:rFonts w:hint="eastAsia" w:ascii="宋体" w:hAnsi="宋体"/>
          <w:color w:val="auto"/>
          <w:highlight w:val="none"/>
        </w:rPr>
        <w:t>素</w:t>
      </w:r>
      <w:r>
        <w:rPr>
          <w:rFonts w:hint="eastAsia" w:ascii="宋体" w:hAnsi="宋体"/>
          <w:color w:val="auto"/>
          <w:highlight w:val="none"/>
          <w:lang w:eastAsia="zh-CN"/>
        </w:rPr>
        <w:t>）</w:t>
      </w:r>
      <w:r>
        <w:rPr>
          <w:rFonts w:hint="eastAsia" w:ascii="宋体" w:hAnsi="宋体"/>
          <w:color w:val="auto"/>
          <w:highlight w:val="none"/>
        </w:rPr>
        <w:t>，调味小菜2种、水果1种；</w:t>
      </w:r>
    </w:p>
    <w:p w14:paraId="3747E11E">
      <w:pPr>
        <w:autoSpaceDE w:val="0"/>
        <w:autoSpaceDN w:val="0"/>
        <w:adjustRightInd w:val="0"/>
        <w:spacing w:line="440" w:lineRule="exact"/>
        <w:ind w:firstLine="417" w:firstLineChars="198"/>
        <w:rPr>
          <w:rFonts w:hint="eastAsia" w:ascii="宋体" w:hAnsi="宋体"/>
          <w:b/>
          <w:bCs/>
          <w:color w:val="auto"/>
          <w:highlight w:val="yellow"/>
        </w:rPr>
      </w:pPr>
      <w:r>
        <w:rPr>
          <w:rFonts w:hint="eastAsia" w:ascii="宋体" w:hAnsi="宋体"/>
          <w:b/>
          <w:bCs/>
          <w:color w:val="auto"/>
          <w:highlight w:val="none"/>
        </w:rPr>
        <w:t>晚餐：</w:t>
      </w:r>
      <w:r>
        <w:rPr>
          <w:rFonts w:hint="eastAsia" w:ascii="宋体" w:hAnsi="宋体"/>
          <w:color w:val="auto"/>
          <w:highlight w:val="none"/>
        </w:rPr>
        <w:t>稀饭类1种、炒菜7种（4荤</w:t>
      </w:r>
      <w:r>
        <w:rPr>
          <w:rFonts w:hint="eastAsia" w:ascii="宋体" w:hAnsi="宋体"/>
          <w:color w:val="auto"/>
          <w:highlight w:val="none"/>
          <w:lang w:val="en-US" w:eastAsia="zh-CN"/>
        </w:rPr>
        <w:t>2</w:t>
      </w:r>
      <w:r>
        <w:rPr>
          <w:rFonts w:hint="eastAsia" w:ascii="宋体" w:hAnsi="宋体"/>
          <w:color w:val="auto"/>
          <w:highlight w:val="none"/>
        </w:rPr>
        <w:t>素）、调味小菜2种；</w:t>
      </w:r>
    </w:p>
    <w:p w14:paraId="0959DC98">
      <w:pPr>
        <w:autoSpaceDE w:val="0"/>
        <w:autoSpaceDN w:val="0"/>
        <w:adjustRightInd w:val="0"/>
        <w:spacing w:line="440" w:lineRule="exact"/>
        <w:ind w:firstLine="417" w:firstLineChars="198"/>
        <w:rPr>
          <w:rFonts w:ascii="宋体" w:hAnsi="宋体"/>
          <w:b/>
          <w:bCs/>
          <w:color w:val="auto"/>
        </w:rPr>
      </w:pPr>
      <w:r>
        <w:rPr>
          <w:rFonts w:hint="eastAsia" w:ascii="宋体" w:hAnsi="宋体"/>
          <w:b/>
          <w:bCs/>
          <w:color w:val="auto"/>
        </w:rPr>
        <w:t>注：以上为食堂供应标准，投标</w:t>
      </w:r>
      <w:r>
        <w:rPr>
          <w:rFonts w:hint="eastAsia" w:ascii="宋体" w:hAnsi="宋体"/>
          <w:b/>
          <w:bCs/>
          <w:color w:val="auto"/>
          <w:lang w:eastAsia="zh-CN"/>
        </w:rPr>
        <w:t>人</w:t>
      </w:r>
      <w:r>
        <w:rPr>
          <w:rFonts w:hint="eastAsia" w:ascii="宋体" w:hAnsi="宋体"/>
          <w:b/>
          <w:bCs/>
          <w:color w:val="auto"/>
        </w:rPr>
        <w:t>不能少于以上各餐品种标准。菜谱必须一周一订，每周</w:t>
      </w:r>
      <w:r>
        <w:rPr>
          <w:rFonts w:hint="eastAsia" w:ascii="宋体" w:hAnsi="宋体"/>
          <w:b/>
          <w:bCs/>
          <w:color w:val="auto"/>
          <w:lang w:eastAsia="zh-CN"/>
        </w:rPr>
        <w:t>四</w:t>
      </w:r>
      <w:r>
        <w:rPr>
          <w:rFonts w:hint="eastAsia" w:ascii="宋体" w:hAnsi="宋体"/>
          <w:b/>
          <w:bCs/>
          <w:color w:val="auto"/>
        </w:rPr>
        <w:t>上报</w:t>
      </w:r>
      <w:r>
        <w:rPr>
          <w:rFonts w:hint="eastAsia" w:ascii="宋体" w:hAnsi="宋体"/>
          <w:b/>
          <w:bCs/>
          <w:color w:val="auto"/>
          <w:lang w:eastAsia="zh-CN"/>
        </w:rPr>
        <w:t>招标</w:t>
      </w:r>
      <w:r>
        <w:rPr>
          <w:rFonts w:hint="eastAsia" w:ascii="宋体" w:hAnsi="宋体"/>
          <w:b/>
          <w:bCs/>
          <w:color w:val="auto"/>
        </w:rPr>
        <w:t>人管理人员，经审核后于下周执行，菜式品种和菜肴搭配根据</w:t>
      </w:r>
      <w:r>
        <w:rPr>
          <w:rFonts w:hint="eastAsia" w:ascii="宋体" w:hAnsi="宋体"/>
          <w:b/>
          <w:bCs/>
          <w:color w:val="auto"/>
          <w:lang w:eastAsia="zh-CN"/>
        </w:rPr>
        <w:t>招标</w:t>
      </w:r>
      <w:r>
        <w:rPr>
          <w:rFonts w:hint="eastAsia" w:ascii="宋体" w:hAnsi="宋体"/>
          <w:b/>
          <w:bCs/>
          <w:color w:val="auto"/>
        </w:rPr>
        <w:t>人的预算制定，达到健康化、多样化和合理化要求。另制定三个档次的接待用家常菜谱，每个档次菜谱备选，并根据季节变化适时调整。</w:t>
      </w:r>
    </w:p>
    <w:p w14:paraId="45893E37">
      <w:pPr>
        <w:autoSpaceDE w:val="0"/>
        <w:autoSpaceDN w:val="0"/>
        <w:adjustRightInd w:val="0"/>
        <w:spacing w:line="440" w:lineRule="exact"/>
        <w:ind w:firstLine="417" w:firstLineChars="198"/>
        <w:rPr>
          <w:rFonts w:hint="eastAsia" w:ascii="宋体" w:hAnsi="宋体" w:eastAsia="宋体" w:cs="Times New Roman"/>
          <w:b/>
          <w:bCs/>
          <w:color w:val="auto"/>
        </w:rPr>
      </w:pPr>
      <w:r>
        <w:rPr>
          <w:rFonts w:hint="eastAsia" w:ascii="宋体" w:hAnsi="宋体" w:eastAsia="宋体" w:cs="Times New Roman"/>
          <w:b/>
          <w:bCs/>
          <w:color w:val="auto"/>
        </w:rPr>
        <w:t>2</w:t>
      </w:r>
      <w:r>
        <w:rPr>
          <w:rFonts w:hint="eastAsia" w:ascii="宋体" w:hAnsi="宋体" w:eastAsia="宋体" w:cs="Times New Roman"/>
          <w:b/>
          <w:bCs/>
          <w:color w:val="auto"/>
          <w:lang w:val="en-US" w:eastAsia="zh-CN"/>
        </w:rPr>
        <w:t>.</w:t>
      </w:r>
      <w:r>
        <w:rPr>
          <w:rFonts w:hint="eastAsia" w:ascii="宋体" w:hAnsi="宋体" w:eastAsia="宋体" w:cs="Times New Roman"/>
          <w:b/>
          <w:bCs/>
          <w:color w:val="auto"/>
        </w:rPr>
        <w:t>日常制作点心外卖：每日推出家常包子、馒头、水饺、馄饨</w:t>
      </w:r>
      <w:r>
        <w:rPr>
          <w:rFonts w:hint="eastAsia" w:ascii="宋体" w:hAnsi="宋体" w:eastAsia="宋体" w:cs="Times New Roman"/>
          <w:b/>
          <w:bCs/>
          <w:color w:val="auto"/>
          <w:lang w:eastAsia="zh-CN"/>
        </w:rPr>
        <w:t>、</w:t>
      </w:r>
      <w:r>
        <w:rPr>
          <w:rFonts w:hint="eastAsia" w:ascii="宋体" w:hAnsi="宋体" w:eastAsia="宋体" w:cs="Times New Roman"/>
          <w:b/>
          <w:bCs/>
          <w:color w:val="auto"/>
        </w:rPr>
        <w:t>特色小饼等多类点心4种各</w:t>
      </w:r>
      <w:r>
        <w:rPr>
          <w:rFonts w:hint="eastAsia" w:ascii="宋体" w:hAnsi="宋体" w:eastAsia="宋体" w:cs="Times New Roman"/>
          <w:b/>
          <w:bCs/>
          <w:color w:val="auto"/>
          <w:lang w:val="en-US" w:eastAsia="zh-CN"/>
        </w:rPr>
        <w:t>约</w:t>
      </w:r>
      <w:r>
        <w:rPr>
          <w:rFonts w:hint="eastAsia" w:ascii="宋体" w:hAnsi="宋体" w:eastAsia="宋体" w:cs="Times New Roman"/>
          <w:b/>
          <w:bCs/>
          <w:color w:val="auto"/>
        </w:rPr>
        <w:t>60份</w:t>
      </w:r>
      <w:r>
        <w:rPr>
          <w:rFonts w:hint="eastAsia" w:ascii="宋体" w:hAnsi="宋体" w:eastAsia="宋体" w:cs="Times New Roman"/>
          <w:b/>
          <w:bCs/>
          <w:color w:val="auto"/>
          <w:lang w:val="en-US" w:eastAsia="zh-CN"/>
        </w:rPr>
        <w:t>左右</w:t>
      </w:r>
      <w:r>
        <w:rPr>
          <w:rFonts w:hint="eastAsia" w:ascii="宋体" w:hAnsi="宋体" w:eastAsia="宋体" w:cs="Times New Roman"/>
          <w:b/>
          <w:bCs/>
          <w:color w:val="auto"/>
        </w:rPr>
        <w:t>（5只/份），供应民警、辅警购买外带。</w:t>
      </w:r>
    </w:p>
    <w:p w14:paraId="1452F5B9">
      <w:pPr>
        <w:autoSpaceDE w:val="0"/>
        <w:autoSpaceDN w:val="0"/>
        <w:adjustRightInd w:val="0"/>
        <w:spacing w:line="440" w:lineRule="exact"/>
        <w:ind w:firstLine="417" w:firstLineChars="198"/>
        <w:rPr>
          <w:rFonts w:hint="eastAsia" w:ascii="宋体" w:hAnsi="宋体" w:eastAsia="宋体" w:cs="Times New Roman"/>
          <w:b/>
          <w:bCs/>
          <w:i/>
          <w:iCs/>
          <w:color w:val="auto"/>
          <w:highlight w:val="none"/>
          <w:u w:val="single"/>
        </w:rPr>
      </w:pPr>
      <w:r>
        <w:rPr>
          <w:rFonts w:hint="eastAsia" w:ascii="宋体" w:hAnsi="宋体" w:eastAsia="宋体" w:cs="Times New Roman"/>
          <w:b/>
          <w:bCs/>
          <w:i/>
          <w:iCs/>
          <w:color w:val="auto"/>
          <w:u w:val="single"/>
        </w:rPr>
        <w:t>3</w:t>
      </w:r>
      <w:r>
        <w:rPr>
          <w:rFonts w:hint="eastAsia" w:ascii="宋体" w:hAnsi="宋体" w:eastAsia="宋体" w:cs="Times New Roman"/>
          <w:b/>
          <w:bCs/>
          <w:i/>
          <w:iCs/>
          <w:color w:val="auto"/>
          <w:u w:val="single"/>
          <w:lang w:val="en-US" w:eastAsia="zh-CN"/>
        </w:rPr>
        <w:t>.★</w:t>
      </w:r>
      <w:r>
        <w:rPr>
          <w:rFonts w:hint="eastAsia" w:ascii="宋体" w:hAnsi="宋体" w:eastAsia="宋体" w:cs="Times New Roman"/>
          <w:b/>
          <w:bCs/>
          <w:i/>
          <w:iCs/>
          <w:color w:val="auto"/>
          <w:highlight w:val="none"/>
          <w:u w:val="single"/>
        </w:rPr>
        <w:t>应急保障能力</w:t>
      </w:r>
    </w:p>
    <w:p w14:paraId="2446A633">
      <w:pPr>
        <w:spacing w:line="400" w:lineRule="exact"/>
        <w:ind w:firstLine="420"/>
        <w:rPr>
          <w:rFonts w:hint="eastAsia" w:ascii="宋体" w:hAnsi="宋体" w:cs="宋体" w:eastAsiaTheme="minorEastAsia"/>
          <w:i w:val="0"/>
          <w:iCs w:val="0"/>
          <w:color w:val="auto"/>
          <w:szCs w:val="21"/>
          <w:highlight w:val="none"/>
          <w:u w:val="none"/>
          <w:lang w:eastAsia="zh-CN"/>
        </w:rPr>
      </w:pPr>
      <w:r>
        <w:rPr>
          <w:rFonts w:hint="eastAsia" w:ascii="宋体" w:hAnsi="宋体" w:eastAsia="宋体" w:cs="Times New Roman"/>
          <w:b/>
          <w:bCs/>
          <w:i/>
          <w:iCs/>
          <w:color w:val="auto"/>
          <w:highlight w:val="none"/>
          <w:u w:val="single"/>
        </w:rPr>
        <w:t>能够在50分钟内提供应急保障服务，满足500人同时用餐【非盒饭形式，满足盐南分局各食堂点位临时任务等。投标时提供承诺函（格式自拟）并加盖投标人公章。中标后</w:t>
      </w:r>
      <w:r>
        <w:rPr>
          <w:rFonts w:hint="eastAsia" w:ascii="宋体" w:hAnsi="宋体" w:eastAsia="宋体" w:cs="Times New Roman"/>
          <w:b/>
          <w:bCs/>
          <w:i/>
          <w:iCs/>
          <w:color w:val="auto"/>
          <w:highlight w:val="none"/>
          <w:u w:val="single"/>
          <w:lang w:eastAsia="zh-CN"/>
        </w:rPr>
        <w:t>签订合同时</w:t>
      </w:r>
      <w:r>
        <w:rPr>
          <w:rFonts w:hint="eastAsia" w:ascii="宋体" w:hAnsi="宋体" w:eastAsia="宋体" w:cs="Times New Roman"/>
          <w:b/>
          <w:bCs/>
          <w:i/>
          <w:iCs/>
          <w:color w:val="auto"/>
          <w:highlight w:val="none"/>
          <w:u w:val="single"/>
        </w:rPr>
        <w:t>提供相关人员名单附至合同中。</w:t>
      </w:r>
      <w:r>
        <w:rPr>
          <w:rFonts w:hint="eastAsia" w:ascii="宋体" w:hAnsi="宋体" w:eastAsia="宋体" w:cs="宋体"/>
          <w:b/>
          <w:bCs/>
          <w:i/>
          <w:iCs/>
          <w:color w:val="auto"/>
          <w:sz w:val="21"/>
          <w:szCs w:val="21"/>
          <w:highlight w:val="none"/>
          <w:u w:val="single"/>
          <w:lang w:eastAsia="zh-CN"/>
        </w:rPr>
        <w:t>此条款为实质性条款，不接受负偏离，否则按不实质响应招标文件处理。</w:t>
      </w:r>
    </w:p>
    <w:p w14:paraId="3F680A7F">
      <w:pPr>
        <w:spacing w:line="540" w:lineRule="exact"/>
        <w:ind w:firstLine="422" w:firstLineChars="200"/>
        <w:rPr>
          <w:rFonts w:ascii="宋体" w:hAnsi="宋体" w:cs="宋体"/>
          <w:b/>
          <w:bCs/>
          <w:color w:val="auto"/>
          <w:szCs w:val="21"/>
        </w:rPr>
      </w:pPr>
      <w:r>
        <w:rPr>
          <w:rFonts w:hint="eastAsia" w:ascii="宋体" w:hAnsi="宋体" w:cs="宋体"/>
          <w:b/>
          <w:bCs/>
          <w:color w:val="auto"/>
          <w:szCs w:val="21"/>
        </w:rPr>
        <w:t>二、相关要求</w:t>
      </w:r>
    </w:p>
    <w:p w14:paraId="2531D628">
      <w:pPr>
        <w:spacing w:line="540" w:lineRule="exact"/>
        <w:ind w:firstLine="420" w:firstLineChars="200"/>
        <w:rPr>
          <w:rFonts w:ascii="宋体" w:hAnsi="宋体" w:cs="宋体"/>
          <w:color w:val="auto"/>
          <w:szCs w:val="21"/>
        </w:rPr>
      </w:pPr>
      <w:r>
        <w:rPr>
          <w:rFonts w:hint="eastAsia" w:ascii="宋体" w:hAnsi="宋体" w:cs="宋体"/>
          <w:color w:val="auto"/>
          <w:szCs w:val="21"/>
          <w:lang w:val="en-US" w:eastAsia="zh-CN"/>
        </w:rPr>
        <w:t>1.</w:t>
      </w:r>
      <w:r>
        <w:rPr>
          <w:rFonts w:hint="eastAsia" w:ascii="宋体" w:hAnsi="宋体" w:cs="宋体"/>
          <w:color w:val="auto"/>
          <w:szCs w:val="21"/>
        </w:rPr>
        <w:t>投标</w:t>
      </w:r>
      <w:r>
        <w:rPr>
          <w:rFonts w:hint="eastAsia" w:ascii="宋体" w:hAnsi="宋体" w:cs="宋体"/>
          <w:color w:val="auto"/>
          <w:szCs w:val="21"/>
          <w:lang w:eastAsia="zh-CN"/>
        </w:rPr>
        <w:t>人</w:t>
      </w:r>
      <w:r>
        <w:rPr>
          <w:rFonts w:hint="eastAsia" w:ascii="宋体" w:hAnsi="宋体" w:cs="宋体"/>
          <w:color w:val="auto"/>
          <w:szCs w:val="21"/>
        </w:rPr>
        <w:t>(</w:t>
      </w:r>
      <w:r>
        <w:rPr>
          <w:rFonts w:hint="eastAsia" w:ascii="宋体" w:hAnsi="宋体" w:cs="宋体"/>
          <w:color w:val="auto"/>
          <w:szCs w:val="21"/>
          <w:lang w:val="en-US" w:eastAsia="zh-CN"/>
        </w:rPr>
        <w:t>中标人</w:t>
      </w:r>
      <w:r>
        <w:rPr>
          <w:rFonts w:hint="eastAsia" w:ascii="宋体" w:hAnsi="宋体" w:cs="宋体"/>
          <w:color w:val="auto"/>
          <w:szCs w:val="21"/>
        </w:rPr>
        <w:t>，下同)</w:t>
      </w:r>
      <w:r>
        <w:rPr>
          <w:rFonts w:hint="eastAsia" w:ascii="宋体" w:hAnsi="宋体" w:cs="宋体"/>
          <w:color w:val="auto"/>
          <w:szCs w:val="21"/>
          <w:highlight w:val="none"/>
        </w:rPr>
        <w:t>应具备应急保障等特殊用餐保障能力</w:t>
      </w:r>
      <w:r>
        <w:rPr>
          <w:rFonts w:hint="eastAsia" w:ascii="宋体" w:hAnsi="宋体" w:cs="宋体"/>
          <w:color w:val="auto"/>
          <w:szCs w:val="21"/>
        </w:rPr>
        <w:t>。食堂的日常服务接待、运行管理由投标</w:t>
      </w:r>
      <w:r>
        <w:rPr>
          <w:rFonts w:hint="eastAsia" w:ascii="宋体" w:hAnsi="宋体" w:cs="宋体"/>
          <w:color w:val="auto"/>
          <w:szCs w:val="21"/>
          <w:lang w:val="en-US" w:eastAsia="zh-CN"/>
        </w:rPr>
        <w:t>人</w:t>
      </w:r>
      <w:r>
        <w:rPr>
          <w:rFonts w:hint="eastAsia" w:ascii="宋体" w:hAnsi="宋体" w:cs="宋体"/>
          <w:color w:val="auto"/>
          <w:szCs w:val="21"/>
        </w:rPr>
        <w:t>负责，项目负责人由投标</w:t>
      </w:r>
      <w:r>
        <w:rPr>
          <w:rFonts w:hint="eastAsia" w:ascii="宋体" w:hAnsi="宋体" w:cs="宋体"/>
          <w:color w:val="auto"/>
          <w:szCs w:val="21"/>
          <w:lang w:eastAsia="zh-CN"/>
        </w:rPr>
        <w:t>人</w:t>
      </w:r>
      <w:r>
        <w:rPr>
          <w:rFonts w:hint="eastAsia" w:ascii="宋体" w:hAnsi="宋体" w:cs="宋体"/>
          <w:color w:val="auto"/>
          <w:szCs w:val="21"/>
        </w:rPr>
        <w:t>委派，管理、服务团队的组建由投标</w:t>
      </w:r>
      <w:r>
        <w:rPr>
          <w:rFonts w:hint="eastAsia" w:ascii="宋体" w:hAnsi="宋体" w:cs="宋体"/>
          <w:color w:val="auto"/>
          <w:szCs w:val="21"/>
          <w:lang w:eastAsia="zh-CN"/>
        </w:rPr>
        <w:t>人</w:t>
      </w:r>
      <w:r>
        <w:rPr>
          <w:rFonts w:hint="eastAsia" w:ascii="宋体" w:hAnsi="宋体" w:cs="宋体"/>
          <w:color w:val="auto"/>
          <w:szCs w:val="21"/>
        </w:rPr>
        <w:t>负责，管理骨干和员工等由投标</w:t>
      </w:r>
      <w:r>
        <w:rPr>
          <w:rFonts w:hint="eastAsia" w:ascii="宋体" w:hAnsi="宋体" w:cs="宋体"/>
          <w:color w:val="auto"/>
          <w:szCs w:val="21"/>
          <w:lang w:eastAsia="zh-CN"/>
        </w:rPr>
        <w:t>人</w:t>
      </w:r>
      <w:r>
        <w:rPr>
          <w:rFonts w:hint="eastAsia" w:ascii="宋体" w:hAnsi="宋体" w:cs="宋体"/>
          <w:color w:val="auto"/>
          <w:szCs w:val="21"/>
        </w:rPr>
        <w:t>根据项目需求人数进行配备。</w:t>
      </w:r>
      <w:r>
        <w:rPr>
          <w:rFonts w:hint="eastAsia" w:ascii="宋体" w:hAnsi="宋体" w:cs="宋体"/>
          <w:b/>
          <w:color w:val="auto"/>
          <w:szCs w:val="21"/>
          <w:u w:val="single"/>
        </w:rPr>
        <w:t>服务期间，投标人应当按照国家有关规定为相关员工支付工资、加班费、社保</w:t>
      </w:r>
      <w:r>
        <w:rPr>
          <w:rFonts w:hint="eastAsia" w:ascii="宋体" w:hAnsi="宋体" w:cs="宋体"/>
          <w:b/>
          <w:color w:val="auto"/>
          <w:szCs w:val="21"/>
          <w:u w:val="single"/>
          <w:lang w:eastAsia="zh-CN"/>
        </w:rPr>
        <w:t>、公积金</w:t>
      </w:r>
      <w:r>
        <w:rPr>
          <w:rFonts w:hint="eastAsia" w:ascii="宋体" w:hAnsi="宋体" w:cs="宋体"/>
          <w:b/>
          <w:color w:val="auto"/>
          <w:szCs w:val="21"/>
          <w:u w:val="single"/>
        </w:rPr>
        <w:t>等（所有人事关系、工资、加班费、社保</w:t>
      </w:r>
      <w:r>
        <w:rPr>
          <w:rFonts w:hint="eastAsia" w:ascii="宋体" w:hAnsi="宋体" w:cs="宋体"/>
          <w:b/>
          <w:color w:val="auto"/>
          <w:szCs w:val="21"/>
          <w:u w:val="single"/>
          <w:lang w:eastAsia="zh-CN"/>
        </w:rPr>
        <w:t>、公积金</w:t>
      </w:r>
      <w:r>
        <w:rPr>
          <w:rFonts w:hint="eastAsia" w:ascii="宋体" w:hAnsi="宋体" w:cs="宋体"/>
          <w:b/>
          <w:color w:val="auto"/>
          <w:szCs w:val="21"/>
          <w:u w:val="single"/>
        </w:rPr>
        <w:t>等均与</w:t>
      </w:r>
      <w:r>
        <w:rPr>
          <w:rFonts w:hint="eastAsia" w:ascii="宋体" w:hAnsi="宋体" w:cs="宋体"/>
          <w:b/>
          <w:color w:val="auto"/>
          <w:szCs w:val="21"/>
          <w:u w:val="single"/>
          <w:lang w:eastAsia="zh-CN"/>
        </w:rPr>
        <w:t>招标</w:t>
      </w:r>
      <w:r>
        <w:rPr>
          <w:rFonts w:hint="eastAsia" w:ascii="宋体" w:hAnsi="宋体" w:cs="宋体"/>
          <w:b/>
          <w:color w:val="auto"/>
          <w:szCs w:val="21"/>
          <w:u w:val="single"/>
        </w:rPr>
        <w:t>人无关，由投标人一方负责）。</w:t>
      </w:r>
    </w:p>
    <w:p w14:paraId="7C22E041">
      <w:pPr>
        <w:spacing w:line="540" w:lineRule="exact"/>
        <w:ind w:firstLine="420" w:firstLineChars="200"/>
        <w:rPr>
          <w:rFonts w:ascii="宋体" w:hAnsi="宋体" w:cs="宋体"/>
          <w:color w:val="auto"/>
          <w:szCs w:val="21"/>
        </w:rPr>
      </w:pPr>
      <w:r>
        <w:rPr>
          <w:rFonts w:hint="eastAsia" w:ascii="宋体" w:hAnsi="宋体" w:cs="宋体"/>
          <w:color w:val="auto"/>
          <w:szCs w:val="21"/>
          <w:lang w:val="en-US" w:eastAsia="zh-CN"/>
        </w:rPr>
        <w:t>2.</w:t>
      </w:r>
      <w:r>
        <w:rPr>
          <w:rFonts w:hint="eastAsia" w:ascii="宋体" w:hAnsi="宋体" w:cs="宋体"/>
          <w:color w:val="auto"/>
          <w:szCs w:val="21"/>
          <w:highlight w:val="none"/>
        </w:rPr>
        <w:t>食堂食材</w:t>
      </w:r>
      <w:r>
        <w:rPr>
          <w:rFonts w:hint="eastAsia" w:ascii="宋体" w:hAnsi="宋体" w:cs="宋体"/>
          <w:color w:val="auto"/>
          <w:szCs w:val="21"/>
          <w:highlight w:val="none"/>
          <w:lang w:val="en-US" w:eastAsia="zh-CN"/>
        </w:rPr>
        <w:t>及调味品等的采购</w:t>
      </w:r>
      <w:r>
        <w:rPr>
          <w:rFonts w:hint="eastAsia" w:ascii="宋体" w:hAnsi="宋体" w:cs="宋体"/>
          <w:color w:val="auto"/>
          <w:szCs w:val="21"/>
          <w:highlight w:val="none"/>
        </w:rPr>
        <w:t>由</w:t>
      </w:r>
      <w:r>
        <w:rPr>
          <w:rFonts w:hint="eastAsia" w:ascii="宋体" w:hAnsi="宋体" w:eastAsia="宋体" w:cs="宋体"/>
          <w:b w:val="0"/>
          <w:bCs w:val="0"/>
          <w:color w:val="auto"/>
          <w:szCs w:val="21"/>
          <w:highlight w:val="none"/>
          <w:u w:val="none"/>
          <w:lang w:eastAsia="zh-CN"/>
        </w:rPr>
        <w:t>招标</w:t>
      </w:r>
      <w:r>
        <w:rPr>
          <w:rFonts w:hint="eastAsia" w:ascii="宋体" w:hAnsi="宋体" w:cs="宋体"/>
          <w:color w:val="auto"/>
          <w:szCs w:val="21"/>
          <w:highlight w:val="none"/>
        </w:rPr>
        <w:t>人</w:t>
      </w:r>
      <w:r>
        <w:rPr>
          <w:rFonts w:hint="eastAsia" w:ascii="宋体" w:hAnsi="宋体" w:cs="宋体"/>
          <w:color w:val="auto"/>
          <w:szCs w:val="21"/>
          <w:highlight w:val="none"/>
          <w:lang w:val="en-US" w:eastAsia="zh-CN"/>
        </w:rPr>
        <w:t>与中标人另行约定</w:t>
      </w:r>
      <w:r>
        <w:rPr>
          <w:rFonts w:hint="eastAsia" w:ascii="宋体" w:hAnsi="宋体" w:cs="宋体"/>
          <w:color w:val="auto"/>
          <w:szCs w:val="21"/>
          <w:highlight w:val="none"/>
        </w:rPr>
        <w:t>。投标</w:t>
      </w:r>
      <w:r>
        <w:rPr>
          <w:rFonts w:hint="eastAsia" w:ascii="宋体" w:hAnsi="宋体" w:cs="宋体"/>
          <w:color w:val="auto"/>
          <w:szCs w:val="21"/>
          <w:highlight w:val="none"/>
          <w:lang w:eastAsia="zh-CN"/>
        </w:rPr>
        <w:t>人</w:t>
      </w:r>
      <w:r>
        <w:rPr>
          <w:rFonts w:hint="eastAsia" w:ascii="宋体" w:hAnsi="宋体" w:cs="宋体"/>
          <w:color w:val="auto"/>
          <w:szCs w:val="21"/>
          <w:highlight w:val="none"/>
        </w:rPr>
        <w:t>负责食堂日常管理（包含但不限于人员岗位工作安排、厨具餐具等资产的使用和保管等）、餐饮（包含但不限于食材验收、加工、烹饪、分餐、卫生保洁等）</w:t>
      </w:r>
      <w:r>
        <w:rPr>
          <w:rFonts w:hint="eastAsia" w:ascii="宋体" w:hAnsi="宋体" w:cs="宋体"/>
          <w:color w:val="auto"/>
          <w:szCs w:val="21"/>
          <w:highlight w:val="none"/>
          <w:lang w:val="en-US" w:eastAsia="zh-CN"/>
        </w:rPr>
        <w:t>管理等</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招标人负责日常工作的监督和检查。</w:t>
      </w:r>
      <w:r>
        <w:rPr>
          <w:rFonts w:hint="eastAsia" w:ascii="宋体" w:hAnsi="宋体" w:cs="宋体"/>
          <w:color w:val="auto"/>
          <w:szCs w:val="21"/>
        </w:rPr>
        <w:t>餐饮管理工作标准具体如下：</w:t>
      </w:r>
    </w:p>
    <w:p w14:paraId="231A3927">
      <w:pPr>
        <w:spacing w:line="540" w:lineRule="exact"/>
        <w:ind w:firstLine="420" w:firstLineChars="200"/>
        <w:rPr>
          <w:rFonts w:ascii="宋体" w:hAnsi="宋体" w:cs="宋体"/>
          <w:color w:val="auto"/>
          <w:szCs w:val="21"/>
        </w:rPr>
      </w:pPr>
      <w:r>
        <w:rPr>
          <w:rFonts w:hint="eastAsia" w:ascii="宋体" w:hAnsi="宋体" w:cs="宋体"/>
          <w:color w:val="auto"/>
          <w:szCs w:val="21"/>
          <w:lang w:val="en-US" w:eastAsia="zh-CN"/>
        </w:rPr>
        <w:t>2.1</w:t>
      </w:r>
      <w:r>
        <w:rPr>
          <w:rFonts w:hint="eastAsia" w:ascii="宋体" w:hAnsi="宋体" w:cs="宋体"/>
          <w:color w:val="auto"/>
          <w:szCs w:val="21"/>
        </w:rPr>
        <w:t>严格执行《食品卫生法》，各种餐用具做到卫生、洁净、消毒，保证食物卫生、食材每天留样，确保全年无食物中毒现象。</w:t>
      </w:r>
    </w:p>
    <w:p w14:paraId="5DA16115">
      <w:pPr>
        <w:spacing w:line="540" w:lineRule="exact"/>
        <w:ind w:firstLine="420" w:firstLineChars="200"/>
        <w:rPr>
          <w:rFonts w:hint="default" w:ascii="宋体" w:hAnsi="宋体" w:cs="宋体" w:eastAsiaTheme="minorEastAsia"/>
          <w:color w:val="auto"/>
          <w:szCs w:val="21"/>
          <w:lang w:val="en-US" w:eastAsia="zh-CN"/>
        </w:rPr>
      </w:pPr>
      <w:r>
        <w:rPr>
          <w:rFonts w:hint="eastAsia" w:ascii="宋体" w:hAnsi="宋体" w:cs="宋体"/>
          <w:color w:val="auto"/>
          <w:szCs w:val="21"/>
          <w:lang w:val="en-US" w:eastAsia="zh-CN"/>
        </w:rPr>
        <w:t>2.2</w:t>
      </w:r>
      <w:r>
        <w:rPr>
          <w:rFonts w:hint="eastAsia" w:ascii="宋体" w:hAnsi="宋体" w:cs="宋体"/>
          <w:color w:val="auto"/>
          <w:szCs w:val="21"/>
        </w:rPr>
        <w:t>严把进货关。投标</w:t>
      </w:r>
      <w:r>
        <w:rPr>
          <w:rFonts w:hint="eastAsia" w:ascii="宋体" w:hAnsi="宋体" w:cs="宋体"/>
          <w:color w:val="auto"/>
          <w:szCs w:val="21"/>
          <w:lang w:eastAsia="zh-CN"/>
        </w:rPr>
        <w:t>人</w:t>
      </w:r>
      <w:r>
        <w:rPr>
          <w:rFonts w:hint="eastAsia" w:ascii="宋体" w:hAnsi="宋体" w:cs="宋体"/>
          <w:color w:val="auto"/>
          <w:szCs w:val="21"/>
        </w:rPr>
        <w:t>安排专人负责收菜，不合格的菜、肉、鱼、油、佐料等不得接受，若发生食品安全事故，一切责任由投标</w:t>
      </w:r>
      <w:r>
        <w:rPr>
          <w:rFonts w:hint="eastAsia" w:ascii="宋体" w:hAnsi="宋体" w:cs="宋体"/>
          <w:color w:val="auto"/>
          <w:szCs w:val="21"/>
          <w:lang w:eastAsia="zh-CN"/>
        </w:rPr>
        <w:t>人</w:t>
      </w:r>
      <w:r>
        <w:rPr>
          <w:rFonts w:hint="eastAsia" w:ascii="宋体" w:hAnsi="宋体" w:cs="宋体"/>
          <w:color w:val="auto"/>
          <w:szCs w:val="21"/>
        </w:rPr>
        <w:t>承担。</w:t>
      </w:r>
    </w:p>
    <w:p w14:paraId="096B382A">
      <w:pPr>
        <w:spacing w:line="540" w:lineRule="exact"/>
        <w:ind w:firstLine="420" w:firstLineChars="200"/>
        <w:rPr>
          <w:rFonts w:ascii="宋体" w:hAnsi="宋体" w:cs="宋体"/>
          <w:color w:val="auto"/>
          <w:szCs w:val="21"/>
        </w:rPr>
      </w:pPr>
      <w:r>
        <w:rPr>
          <w:rFonts w:hint="eastAsia" w:ascii="宋体" w:hAnsi="宋体" w:cs="宋体"/>
          <w:color w:val="auto"/>
          <w:szCs w:val="21"/>
          <w:lang w:val="en-US" w:eastAsia="zh-CN"/>
        </w:rPr>
        <w:t>2.3</w:t>
      </w:r>
      <w:r>
        <w:rPr>
          <w:rFonts w:hint="eastAsia" w:ascii="宋体" w:hAnsi="宋体" w:cs="宋体"/>
          <w:color w:val="auto"/>
          <w:szCs w:val="21"/>
        </w:rPr>
        <w:t>严把处理关。进入食堂的食材，在细加工之前，一定要摘好洗净，在干净的水池中清洗三遍以上。在细加工之前，做到生熟食品分开，容器分开，工作区分开，杜绝交叉感染。</w:t>
      </w:r>
    </w:p>
    <w:p w14:paraId="650E4736">
      <w:pPr>
        <w:spacing w:line="540" w:lineRule="exact"/>
        <w:ind w:firstLine="420" w:firstLineChars="200"/>
        <w:rPr>
          <w:rFonts w:hint="eastAsia" w:ascii="宋体" w:hAnsi="宋体" w:cs="宋体"/>
          <w:color w:val="auto"/>
          <w:szCs w:val="21"/>
        </w:rPr>
      </w:pPr>
      <w:r>
        <w:rPr>
          <w:rFonts w:hint="eastAsia" w:ascii="宋体" w:hAnsi="宋体" w:cs="宋体"/>
          <w:color w:val="auto"/>
          <w:szCs w:val="21"/>
          <w:lang w:val="en-US" w:eastAsia="zh-CN"/>
        </w:rPr>
        <w:t>2.4</w:t>
      </w:r>
      <w:r>
        <w:rPr>
          <w:rFonts w:hint="eastAsia" w:ascii="宋体" w:hAnsi="宋体" w:cs="宋体"/>
          <w:color w:val="auto"/>
          <w:szCs w:val="21"/>
        </w:rPr>
        <w:t>严格按照食品卫生规定进行食物加工，主辅食物保证煮熟、煮烂，根据季节和食物特点合理加工食物，确保烹饪菜肴的色、香、味俱全。确保每星期内菜谱不完全重复，每周五上午提前公布下周菜单，保证每日工作餐准时供应。</w:t>
      </w:r>
    </w:p>
    <w:p w14:paraId="704AEDF4">
      <w:pPr>
        <w:spacing w:line="540" w:lineRule="exact"/>
        <w:ind w:firstLine="420" w:firstLineChars="200"/>
        <w:rPr>
          <w:rFonts w:ascii="宋体" w:hAnsi="宋体" w:cs="宋体"/>
          <w:color w:val="auto"/>
          <w:szCs w:val="21"/>
        </w:rPr>
      </w:pPr>
      <w:r>
        <w:rPr>
          <w:rFonts w:hint="eastAsia" w:ascii="宋体" w:hAnsi="宋体" w:cs="宋体"/>
          <w:color w:val="auto"/>
          <w:szCs w:val="21"/>
          <w:lang w:val="en-US" w:eastAsia="zh-CN"/>
        </w:rPr>
        <w:t>2.5</w:t>
      </w:r>
      <w:r>
        <w:rPr>
          <w:rFonts w:hint="eastAsia" w:ascii="宋体" w:hAnsi="宋体" w:cs="宋体"/>
          <w:color w:val="auto"/>
          <w:szCs w:val="21"/>
        </w:rPr>
        <w:t>严格做到不合格或霉坏变质的食品不上餐桌，剩余饭菜不上餐桌，加工失误（过生或过糊）的饭菜不上餐桌，天天重复的饭菜不上餐桌。</w:t>
      </w:r>
    </w:p>
    <w:p w14:paraId="141C1631">
      <w:pPr>
        <w:numPr>
          <w:ilvl w:val="0"/>
          <w:numId w:val="0"/>
        </w:numPr>
        <w:spacing w:line="540" w:lineRule="exact"/>
        <w:ind w:firstLine="420" w:firstLineChars="200"/>
        <w:rPr>
          <w:rFonts w:ascii="宋体" w:hAnsi="宋体" w:cs="宋体"/>
          <w:color w:val="auto"/>
          <w:szCs w:val="21"/>
        </w:rPr>
      </w:pPr>
      <w:r>
        <w:rPr>
          <w:rFonts w:hint="eastAsia" w:ascii="宋体" w:hAnsi="宋体" w:cs="宋体"/>
          <w:color w:val="auto"/>
          <w:szCs w:val="21"/>
          <w:lang w:val="en-US" w:eastAsia="zh-CN"/>
        </w:rPr>
        <w:t>2.6</w:t>
      </w:r>
      <w:r>
        <w:rPr>
          <w:rFonts w:hint="eastAsia" w:ascii="宋体" w:hAnsi="宋体" w:cs="宋体"/>
          <w:color w:val="auto"/>
          <w:szCs w:val="21"/>
        </w:rPr>
        <w:t>做好餐厅、加工间、清洗间及仓库卫生，确保桌面无油渍，地面无杂物和积水，无蚊、蝇、虫现象。保证碗筷餐前消毒，做到无水垢、油垢现象，确保卫生安全。</w:t>
      </w:r>
    </w:p>
    <w:p w14:paraId="34228C73">
      <w:pPr>
        <w:spacing w:line="540" w:lineRule="exact"/>
        <w:ind w:firstLine="420" w:firstLineChars="200"/>
        <w:rPr>
          <w:rFonts w:ascii="宋体" w:hAnsi="宋体" w:cs="宋体"/>
          <w:color w:val="auto"/>
          <w:szCs w:val="21"/>
        </w:rPr>
      </w:pPr>
      <w:r>
        <w:rPr>
          <w:rFonts w:hint="eastAsia" w:ascii="宋体" w:hAnsi="宋体" w:cs="宋体"/>
          <w:color w:val="auto"/>
          <w:szCs w:val="21"/>
          <w:lang w:val="en-US" w:eastAsia="zh-CN"/>
        </w:rPr>
        <w:t>2.7</w:t>
      </w:r>
      <w:r>
        <w:rPr>
          <w:rFonts w:hint="eastAsia" w:ascii="宋体" w:hAnsi="宋体" w:cs="宋体"/>
          <w:color w:val="auto"/>
          <w:szCs w:val="21"/>
        </w:rPr>
        <w:t>厨房要保持设备摆放整齐有序。工作台、餐具、炊具、地面、墙面按时消毒，干净无异味。冰箱保持干净卫生，分档分类存放食物（生熟分开，肉类、鱼类、海鲜类等分档分类保存）。</w:t>
      </w:r>
    </w:p>
    <w:p w14:paraId="46066A71">
      <w:pPr>
        <w:spacing w:line="5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2.8非食材类的</w:t>
      </w:r>
      <w:r>
        <w:rPr>
          <w:rFonts w:hint="eastAsia" w:ascii="宋体" w:hAnsi="宋体" w:cs="宋体"/>
          <w:color w:val="auto"/>
          <w:szCs w:val="21"/>
          <w:highlight w:val="none"/>
        </w:rPr>
        <w:t>物资材料、低值易耗品</w:t>
      </w:r>
      <w:r>
        <w:rPr>
          <w:rFonts w:hint="eastAsia" w:ascii="宋体" w:hAnsi="宋体" w:cs="宋体"/>
          <w:color w:val="auto"/>
          <w:szCs w:val="21"/>
          <w:highlight w:val="none"/>
          <w:lang w:val="en-US" w:eastAsia="zh-CN"/>
        </w:rPr>
        <w:t>等物品</w:t>
      </w:r>
      <w:r>
        <w:rPr>
          <w:rFonts w:hint="eastAsia" w:ascii="宋体" w:hAnsi="宋体" w:cs="宋体"/>
          <w:color w:val="auto"/>
          <w:szCs w:val="21"/>
          <w:highlight w:val="none"/>
        </w:rPr>
        <w:t>的采购，由投标</w:t>
      </w:r>
      <w:r>
        <w:rPr>
          <w:rFonts w:hint="eastAsia" w:ascii="宋体" w:hAnsi="宋体" w:cs="宋体"/>
          <w:color w:val="auto"/>
          <w:szCs w:val="21"/>
          <w:highlight w:val="none"/>
          <w:lang w:eastAsia="zh-CN"/>
        </w:rPr>
        <w:t>人</w:t>
      </w:r>
      <w:r>
        <w:rPr>
          <w:rFonts w:hint="eastAsia" w:ascii="宋体" w:hAnsi="宋体" w:cs="宋体"/>
          <w:color w:val="auto"/>
          <w:szCs w:val="21"/>
          <w:highlight w:val="none"/>
        </w:rPr>
        <w:t>编制采购计划、采购清单及预算，经</w:t>
      </w:r>
      <w:r>
        <w:rPr>
          <w:rFonts w:hint="eastAsia" w:ascii="宋体" w:hAnsi="宋体" w:cs="宋体"/>
          <w:color w:val="auto"/>
          <w:szCs w:val="21"/>
          <w:highlight w:val="none"/>
          <w:lang w:eastAsia="zh-CN"/>
        </w:rPr>
        <w:t>招标</w:t>
      </w:r>
      <w:r>
        <w:rPr>
          <w:rFonts w:hint="eastAsia" w:ascii="宋体" w:hAnsi="宋体" w:cs="宋体"/>
          <w:color w:val="auto"/>
          <w:szCs w:val="21"/>
          <w:highlight w:val="none"/>
        </w:rPr>
        <w:t>人审核批准后，由</w:t>
      </w:r>
      <w:r>
        <w:rPr>
          <w:rFonts w:hint="eastAsia" w:ascii="宋体" w:hAnsi="宋体" w:cs="宋体"/>
          <w:color w:val="auto"/>
          <w:szCs w:val="21"/>
          <w:highlight w:val="none"/>
          <w:lang w:eastAsia="zh-CN"/>
        </w:rPr>
        <w:t>招标</w:t>
      </w:r>
      <w:r>
        <w:rPr>
          <w:rFonts w:hint="eastAsia" w:ascii="宋体" w:hAnsi="宋体" w:cs="宋体"/>
          <w:color w:val="auto"/>
          <w:szCs w:val="21"/>
          <w:highlight w:val="none"/>
        </w:rPr>
        <w:t>人自行采购并提供给投标</w:t>
      </w:r>
      <w:r>
        <w:rPr>
          <w:rFonts w:hint="eastAsia" w:ascii="宋体" w:hAnsi="宋体" w:cs="宋体"/>
          <w:color w:val="auto"/>
          <w:szCs w:val="21"/>
          <w:highlight w:val="none"/>
          <w:lang w:eastAsia="zh-CN"/>
        </w:rPr>
        <w:t>人</w:t>
      </w:r>
      <w:r>
        <w:rPr>
          <w:rFonts w:hint="eastAsia" w:ascii="宋体" w:hAnsi="宋体" w:cs="宋体"/>
          <w:color w:val="auto"/>
          <w:szCs w:val="21"/>
          <w:highlight w:val="none"/>
        </w:rPr>
        <w:t>使用。出库后的物资及厨具、餐具等资产如出现非正常的人为损耗，由投标</w:t>
      </w:r>
      <w:r>
        <w:rPr>
          <w:rFonts w:hint="eastAsia" w:ascii="宋体" w:hAnsi="宋体" w:cs="宋体"/>
          <w:color w:val="auto"/>
          <w:szCs w:val="21"/>
          <w:highlight w:val="none"/>
          <w:lang w:eastAsia="zh-CN"/>
        </w:rPr>
        <w:t>人</w:t>
      </w:r>
      <w:r>
        <w:rPr>
          <w:rFonts w:hint="eastAsia" w:ascii="宋体" w:hAnsi="宋体" w:cs="宋体"/>
          <w:color w:val="auto"/>
          <w:szCs w:val="21"/>
          <w:highlight w:val="none"/>
        </w:rPr>
        <w:t>负责赔偿。</w:t>
      </w:r>
    </w:p>
    <w:p w14:paraId="6F5391EC">
      <w:pPr>
        <w:spacing w:line="54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2.9</w:t>
      </w:r>
      <w:r>
        <w:rPr>
          <w:rFonts w:hint="eastAsia" w:ascii="宋体" w:hAnsi="宋体" w:cs="宋体"/>
          <w:color w:val="auto"/>
          <w:szCs w:val="21"/>
          <w:highlight w:val="none"/>
        </w:rPr>
        <w:t>库房</w:t>
      </w:r>
      <w:r>
        <w:rPr>
          <w:rFonts w:hint="eastAsia" w:ascii="宋体" w:hAnsi="宋体" w:cs="宋体"/>
          <w:color w:val="auto"/>
          <w:szCs w:val="21"/>
          <w:highlight w:val="none"/>
          <w:lang w:val="en-US" w:eastAsia="zh-CN"/>
        </w:rPr>
        <w:t>日常管理</w:t>
      </w:r>
      <w:r>
        <w:rPr>
          <w:rFonts w:hint="eastAsia" w:ascii="宋体" w:hAnsi="宋体" w:cs="宋体"/>
          <w:color w:val="auto"/>
          <w:szCs w:val="21"/>
          <w:highlight w:val="none"/>
        </w:rPr>
        <w:t>由</w:t>
      </w:r>
      <w:r>
        <w:rPr>
          <w:rFonts w:hint="eastAsia" w:ascii="宋体" w:hAnsi="宋体" w:cs="宋体"/>
          <w:color w:val="auto"/>
          <w:szCs w:val="21"/>
          <w:highlight w:val="none"/>
          <w:lang w:eastAsia="zh-CN"/>
        </w:rPr>
        <w:t>招标</w:t>
      </w:r>
      <w:r>
        <w:rPr>
          <w:rFonts w:hint="eastAsia" w:ascii="宋体" w:hAnsi="宋体" w:cs="宋体"/>
          <w:color w:val="auto"/>
          <w:szCs w:val="21"/>
          <w:highlight w:val="none"/>
          <w:lang w:val="en-US" w:eastAsia="zh-CN"/>
        </w:rPr>
        <w:t>人</w:t>
      </w:r>
      <w:r>
        <w:rPr>
          <w:rFonts w:hint="eastAsia" w:ascii="宋体" w:hAnsi="宋体" w:cs="宋体"/>
          <w:color w:val="auto"/>
          <w:szCs w:val="21"/>
          <w:highlight w:val="none"/>
        </w:rPr>
        <w:t>负责</w:t>
      </w:r>
      <w:r>
        <w:rPr>
          <w:rFonts w:hint="eastAsia" w:ascii="宋体" w:hAnsi="宋体" w:cs="宋体"/>
          <w:color w:val="auto"/>
          <w:szCs w:val="21"/>
          <w:highlight w:val="none"/>
          <w:lang w:val="en-US" w:eastAsia="zh-CN"/>
        </w:rPr>
        <w:t>。</w:t>
      </w:r>
    </w:p>
    <w:p w14:paraId="02965141">
      <w:pPr>
        <w:spacing w:line="540" w:lineRule="exact"/>
        <w:ind w:firstLine="420" w:firstLineChars="200"/>
        <w:rPr>
          <w:rFonts w:ascii="宋体" w:hAnsi="宋体" w:cs="宋体"/>
          <w:color w:val="auto"/>
          <w:szCs w:val="21"/>
        </w:rPr>
      </w:pPr>
      <w:r>
        <w:rPr>
          <w:rFonts w:hint="eastAsia" w:ascii="宋体" w:hAnsi="宋体" w:cs="宋体"/>
          <w:color w:val="auto"/>
          <w:szCs w:val="21"/>
          <w:lang w:val="en-US" w:eastAsia="zh-CN"/>
        </w:rPr>
        <w:t>4.</w:t>
      </w:r>
      <w:r>
        <w:rPr>
          <w:rFonts w:hint="eastAsia" w:ascii="宋体" w:hAnsi="宋体" w:cs="宋体"/>
          <w:color w:val="auto"/>
          <w:szCs w:val="21"/>
        </w:rPr>
        <w:t>投标</w:t>
      </w:r>
      <w:r>
        <w:rPr>
          <w:rFonts w:hint="eastAsia" w:ascii="宋体" w:hAnsi="宋体" w:cs="宋体"/>
          <w:color w:val="auto"/>
          <w:szCs w:val="21"/>
          <w:lang w:eastAsia="zh-CN"/>
        </w:rPr>
        <w:t>人</w:t>
      </w:r>
      <w:r>
        <w:rPr>
          <w:rFonts w:hint="eastAsia" w:ascii="宋体" w:hAnsi="宋体" w:cs="宋体"/>
          <w:color w:val="auto"/>
          <w:szCs w:val="21"/>
        </w:rPr>
        <w:t>应加强成本核算，严格成本控制，确保食堂餐饮消费收入与材料成本支出基本持平。</w:t>
      </w:r>
    </w:p>
    <w:p w14:paraId="3690655C">
      <w:pPr>
        <w:spacing w:line="540" w:lineRule="exact"/>
        <w:ind w:firstLine="420" w:firstLineChars="200"/>
        <w:rPr>
          <w:rFonts w:ascii="宋体" w:hAnsi="宋体" w:cs="宋体"/>
          <w:color w:val="auto"/>
          <w:szCs w:val="21"/>
        </w:rPr>
      </w:pPr>
      <w:r>
        <w:rPr>
          <w:rFonts w:hint="eastAsia" w:ascii="宋体" w:hAnsi="宋体" w:cs="宋体"/>
          <w:color w:val="auto"/>
          <w:szCs w:val="21"/>
          <w:lang w:val="en-US" w:eastAsia="zh-CN"/>
        </w:rPr>
        <w:t>5.</w:t>
      </w:r>
      <w:r>
        <w:rPr>
          <w:rFonts w:hint="eastAsia" w:ascii="宋体" w:hAnsi="宋体" w:cs="宋体"/>
          <w:color w:val="auto"/>
          <w:szCs w:val="21"/>
          <w:lang w:eastAsia="zh-CN"/>
        </w:rPr>
        <w:t>招标</w:t>
      </w:r>
      <w:r>
        <w:rPr>
          <w:rFonts w:hint="eastAsia" w:ascii="宋体" w:hAnsi="宋体" w:cs="宋体"/>
          <w:color w:val="auto"/>
          <w:szCs w:val="21"/>
        </w:rPr>
        <w:t>人为投标</w:t>
      </w:r>
      <w:r>
        <w:rPr>
          <w:rFonts w:hint="eastAsia" w:ascii="宋体" w:hAnsi="宋体" w:cs="宋体"/>
          <w:color w:val="auto"/>
          <w:szCs w:val="21"/>
          <w:lang w:eastAsia="zh-CN"/>
        </w:rPr>
        <w:t>人</w:t>
      </w:r>
      <w:r>
        <w:rPr>
          <w:rFonts w:hint="eastAsia" w:ascii="宋体" w:hAnsi="宋体" w:cs="宋体"/>
          <w:color w:val="auto"/>
          <w:szCs w:val="21"/>
        </w:rPr>
        <w:t>员工提供免费工作餐，并根据实际需要提供免费住宿床位，投标</w:t>
      </w:r>
      <w:r>
        <w:rPr>
          <w:rFonts w:hint="eastAsia" w:ascii="宋体" w:hAnsi="宋体" w:cs="宋体"/>
          <w:color w:val="auto"/>
          <w:szCs w:val="21"/>
          <w:lang w:eastAsia="zh-CN"/>
        </w:rPr>
        <w:t>人</w:t>
      </w:r>
      <w:r>
        <w:rPr>
          <w:rFonts w:hint="eastAsia" w:ascii="宋体" w:hAnsi="宋体" w:cs="宋体"/>
          <w:color w:val="auto"/>
          <w:szCs w:val="21"/>
        </w:rPr>
        <w:t>应对住宿员工严格管理。</w:t>
      </w:r>
    </w:p>
    <w:p w14:paraId="40BE1FDF">
      <w:pPr>
        <w:spacing w:line="540" w:lineRule="exact"/>
        <w:ind w:firstLine="420" w:firstLineChars="200"/>
        <w:rPr>
          <w:rFonts w:ascii="宋体" w:hAnsi="宋体" w:cs="宋体"/>
          <w:color w:val="auto"/>
          <w:szCs w:val="21"/>
        </w:rPr>
      </w:pPr>
      <w:r>
        <w:rPr>
          <w:rFonts w:hint="eastAsia" w:ascii="宋体" w:hAnsi="宋体" w:cs="宋体"/>
          <w:color w:val="auto"/>
          <w:szCs w:val="21"/>
          <w:lang w:val="en-US" w:eastAsia="zh-CN"/>
        </w:rPr>
        <w:t>6.招标</w:t>
      </w:r>
      <w:r>
        <w:rPr>
          <w:rFonts w:hint="eastAsia" w:ascii="宋体" w:hAnsi="宋体" w:cs="宋体"/>
          <w:color w:val="auto"/>
          <w:szCs w:val="21"/>
        </w:rPr>
        <w:t>人负责对投标</w:t>
      </w:r>
      <w:r>
        <w:rPr>
          <w:rFonts w:hint="eastAsia" w:ascii="宋体" w:hAnsi="宋体" w:cs="宋体"/>
          <w:color w:val="auto"/>
          <w:szCs w:val="21"/>
          <w:lang w:eastAsia="zh-CN"/>
        </w:rPr>
        <w:t>人</w:t>
      </w:r>
      <w:r>
        <w:rPr>
          <w:rFonts w:hint="eastAsia" w:ascii="宋体" w:hAnsi="宋体" w:cs="宋体"/>
          <w:color w:val="auto"/>
          <w:szCs w:val="21"/>
        </w:rPr>
        <w:t>的工作实施检查和管理，每月进行一次考核评定。任务安排和管理要求以招</w:t>
      </w:r>
      <w:r>
        <w:rPr>
          <w:rFonts w:hint="eastAsia" w:ascii="宋体" w:hAnsi="宋体" w:cs="宋体"/>
          <w:color w:val="auto"/>
          <w:szCs w:val="21"/>
          <w:lang w:eastAsia="zh-CN"/>
        </w:rPr>
        <w:t>标</w:t>
      </w:r>
      <w:r>
        <w:rPr>
          <w:rFonts w:hint="eastAsia" w:ascii="宋体" w:hAnsi="宋体" w:cs="宋体"/>
          <w:color w:val="auto"/>
          <w:szCs w:val="21"/>
        </w:rPr>
        <w:t>人意见为主，如投标</w:t>
      </w:r>
      <w:r>
        <w:rPr>
          <w:rFonts w:hint="eastAsia" w:ascii="宋体" w:hAnsi="宋体" w:cs="宋体"/>
          <w:color w:val="auto"/>
          <w:szCs w:val="21"/>
          <w:lang w:eastAsia="zh-CN"/>
        </w:rPr>
        <w:t>人</w:t>
      </w:r>
      <w:r>
        <w:rPr>
          <w:rFonts w:hint="eastAsia" w:ascii="宋体" w:hAnsi="宋体" w:cs="宋体"/>
          <w:color w:val="auto"/>
          <w:szCs w:val="21"/>
        </w:rPr>
        <w:t>派出的管理、服务人员工作表现不好，</w:t>
      </w:r>
      <w:r>
        <w:rPr>
          <w:rFonts w:hint="eastAsia" w:ascii="宋体" w:hAnsi="宋体" w:cs="宋体"/>
          <w:color w:val="auto"/>
          <w:szCs w:val="21"/>
          <w:lang w:eastAsia="zh-CN"/>
        </w:rPr>
        <w:t>招标</w:t>
      </w:r>
      <w:r>
        <w:rPr>
          <w:rFonts w:hint="eastAsia" w:ascii="宋体" w:hAnsi="宋体" w:cs="宋体"/>
          <w:color w:val="auto"/>
          <w:szCs w:val="21"/>
        </w:rPr>
        <w:t>人可要求投标</w:t>
      </w:r>
      <w:r>
        <w:rPr>
          <w:rFonts w:hint="eastAsia" w:ascii="宋体" w:hAnsi="宋体" w:cs="宋体"/>
          <w:color w:val="auto"/>
          <w:szCs w:val="21"/>
          <w:lang w:eastAsia="zh-CN"/>
        </w:rPr>
        <w:t>人</w:t>
      </w:r>
      <w:r>
        <w:rPr>
          <w:rFonts w:hint="eastAsia" w:ascii="宋体" w:hAnsi="宋体" w:cs="宋体"/>
          <w:color w:val="auto"/>
          <w:szCs w:val="21"/>
        </w:rPr>
        <w:t>更换人员。投标</w:t>
      </w:r>
      <w:r>
        <w:rPr>
          <w:rFonts w:hint="eastAsia" w:ascii="宋体" w:hAnsi="宋体" w:cs="宋体"/>
          <w:color w:val="auto"/>
          <w:szCs w:val="21"/>
          <w:lang w:eastAsia="zh-CN"/>
        </w:rPr>
        <w:t>人</w:t>
      </w:r>
      <w:r>
        <w:rPr>
          <w:rFonts w:hint="eastAsia" w:ascii="宋体" w:hAnsi="宋体" w:cs="宋体"/>
          <w:color w:val="auto"/>
          <w:szCs w:val="21"/>
        </w:rPr>
        <w:t>每年需向</w:t>
      </w:r>
      <w:r>
        <w:rPr>
          <w:rFonts w:hint="eastAsia" w:ascii="宋体" w:hAnsi="宋体" w:cs="宋体"/>
          <w:color w:val="auto"/>
          <w:szCs w:val="21"/>
          <w:lang w:eastAsia="zh-CN"/>
        </w:rPr>
        <w:t>招标</w:t>
      </w:r>
      <w:r>
        <w:rPr>
          <w:rFonts w:hint="eastAsia" w:ascii="宋体" w:hAnsi="宋体" w:cs="宋体"/>
          <w:color w:val="auto"/>
          <w:szCs w:val="21"/>
        </w:rPr>
        <w:t>人提供工作人员健康证复印件。</w:t>
      </w:r>
    </w:p>
    <w:p w14:paraId="6F028B0B">
      <w:pPr>
        <w:spacing w:line="540" w:lineRule="exact"/>
        <w:ind w:firstLine="420" w:firstLineChars="200"/>
        <w:rPr>
          <w:rFonts w:ascii="宋体" w:hAnsi="宋体" w:cs="宋体"/>
          <w:color w:val="auto"/>
          <w:szCs w:val="21"/>
        </w:rPr>
      </w:pPr>
      <w:r>
        <w:rPr>
          <w:rFonts w:hint="eastAsia" w:ascii="宋体" w:hAnsi="宋体" w:cs="宋体"/>
          <w:color w:val="auto"/>
          <w:szCs w:val="21"/>
          <w:lang w:val="en-US" w:eastAsia="zh-CN"/>
        </w:rPr>
        <w:t>7.</w:t>
      </w:r>
      <w:r>
        <w:rPr>
          <w:rFonts w:hint="eastAsia" w:ascii="宋体" w:hAnsi="宋体" w:cs="宋体"/>
          <w:color w:val="auto"/>
          <w:szCs w:val="21"/>
        </w:rPr>
        <w:t>投标</w:t>
      </w:r>
      <w:r>
        <w:rPr>
          <w:rFonts w:hint="eastAsia" w:ascii="宋体" w:hAnsi="宋体" w:cs="宋体"/>
          <w:color w:val="auto"/>
          <w:szCs w:val="21"/>
          <w:lang w:eastAsia="zh-CN"/>
        </w:rPr>
        <w:t>人</w:t>
      </w:r>
      <w:r>
        <w:rPr>
          <w:rFonts w:hint="eastAsia" w:ascii="宋体" w:hAnsi="宋体" w:cs="宋体"/>
          <w:color w:val="auto"/>
          <w:szCs w:val="21"/>
        </w:rPr>
        <w:t>必须</w:t>
      </w:r>
      <w:r>
        <w:rPr>
          <w:rFonts w:hint="eastAsia" w:ascii="宋体" w:hAnsi="宋体" w:cs="宋体"/>
          <w:color w:val="auto"/>
          <w:szCs w:val="21"/>
          <w:lang w:eastAsia="zh-CN"/>
        </w:rPr>
        <w:t>按照国家</w:t>
      </w:r>
      <w:r>
        <w:rPr>
          <w:rFonts w:hint="eastAsia" w:ascii="宋体" w:hAnsi="宋体" w:cs="宋体"/>
          <w:color w:val="auto"/>
          <w:szCs w:val="21"/>
        </w:rPr>
        <w:t>有关规定，承担其雇员的劳动报酬、福利待遇、按劳动法交纳社会养老保险、医疗保险、失业保险、工伤抚恤等用人费用，维护和保障员工的合法权益，承担未正确执行劳动用工规定所产生的法律责任。投标</w:t>
      </w:r>
      <w:r>
        <w:rPr>
          <w:rFonts w:hint="eastAsia" w:ascii="宋体" w:hAnsi="宋体" w:cs="宋体"/>
          <w:color w:val="auto"/>
          <w:szCs w:val="21"/>
          <w:lang w:eastAsia="zh-CN"/>
        </w:rPr>
        <w:t>人</w:t>
      </w:r>
      <w:r>
        <w:rPr>
          <w:rFonts w:hint="eastAsia" w:ascii="宋体" w:hAnsi="宋体" w:cs="宋体"/>
          <w:color w:val="auto"/>
          <w:szCs w:val="21"/>
        </w:rPr>
        <w:t>员工在工作期间、上下班途中发生人身意外事故的，由投标</w:t>
      </w:r>
      <w:r>
        <w:rPr>
          <w:rFonts w:hint="eastAsia" w:ascii="宋体" w:hAnsi="宋体" w:cs="宋体"/>
          <w:color w:val="auto"/>
          <w:szCs w:val="21"/>
          <w:lang w:eastAsia="zh-CN"/>
        </w:rPr>
        <w:t>人</w:t>
      </w:r>
      <w:r>
        <w:rPr>
          <w:rFonts w:hint="eastAsia" w:ascii="宋体" w:hAnsi="宋体" w:cs="宋体"/>
          <w:color w:val="auto"/>
          <w:szCs w:val="21"/>
        </w:rPr>
        <w:t>一方负责处理并承担赔偿责任（与</w:t>
      </w:r>
      <w:r>
        <w:rPr>
          <w:rFonts w:hint="eastAsia" w:ascii="宋体" w:hAnsi="宋体" w:cs="宋体"/>
          <w:color w:val="auto"/>
          <w:szCs w:val="21"/>
          <w:lang w:eastAsia="zh-CN"/>
        </w:rPr>
        <w:t>招标</w:t>
      </w:r>
      <w:r>
        <w:rPr>
          <w:rFonts w:hint="eastAsia" w:ascii="宋体" w:hAnsi="宋体" w:cs="宋体"/>
          <w:color w:val="auto"/>
          <w:szCs w:val="21"/>
        </w:rPr>
        <w:t>人无关）。</w:t>
      </w:r>
    </w:p>
    <w:p w14:paraId="0F6F74F2">
      <w:pPr>
        <w:spacing w:line="540" w:lineRule="exact"/>
        <w:ind w:firstLine="420" w:firstLineChars="200"/>
        <w:rPr>
          <w:rFonts w:ascii="宋体" w:hAnsi="宋体" w:cs="宋体"/>
          <w:color w:val="auto"/>
          <w:szCs w:val="21"/>
        </w:rPr>
      </w:pPr>
      <w:r>
        <w:rPr>
          <w:rFonts w:hint="eastAsia" w:ascii="宋体" w:hAnsi="宋体" w:cs="宋体"/>
          <w:color w:val="auto"/>
          <w:szCs w:val="21"/>
          <w:lang w:val="en-US" w:eastAsia="zh-CN"/>
        </w:rPr>
        <w:t>8.</w:t>
      </w:r>
      <w:r>
        <w:rPr>
          <w:rFonts w:hint="eastAsia" w:ascii="宋体" w:hAnsi="宋体" w:cs="宋体"/>
          <w:color w:val="auto"/>
          <w:szCs w:val="21"/>
        </w:rPr>
        <w:t>投标</w:t>
      </w:r>
      <w:r>
        <w:rPr>
          <w:rFonts w:hint="eastAsia" w:ascii="宋体" w:hAnsi="宋体" w:cs="宋体"/>
          <w:color w:val="auto"/>
          <w:szCs w:val="21"/>
          <w:lang w:eastAsia="zh-CN"/>
        </w:rPr>
        <w:t>人</w:t>
      </w:r>
      <w:r>
        <w:rPr>
          <w:rFonts w:hint="eastAsia" w:ascii="宋体" w:hAnsi="宋体" w:cs="宋体"/>
          <w:color w:val="auto"/>
          <w:szCs w:val="21"/>
        </w:rPr>
        <w:t>工作人员需接受</w:t>
      </w:r>
      <w:r>
        <w:rPr>
          <w:rFonts w:hint="eastAsia" w:ascii="宋体" w:hAnsi="宋体" w:cs="宋体"/>
          <w:color w:val="auto"/>
          <w:szCs w:val="21"/>
          <w:lang w:eastAsia="zh-CN"/>
        </w:rPr>
        <w:t>采购</w:t>
      </w:r>
      <w:r>
        <w:rPr>
          <w:rFonts w:hint="eastAsia" w:ascii="宋体" w:hAnsi="宋体" w:cs="宋体"/>
          <w:color w:val="auto"/>
          <w:szCs w:val="21"/>
        </w:rPr>
        <w:t>人监督，遵守</w:t>
      </w:r>
      <w:r>
        <w:rPr>
          <w:rFonts w:hint="eastAsia" w:ascii="宋体" w:hAnsi="宋体" w:cs="宋体"/>
          <w:color w:val="auto"/>
          <w:szCs w:val="21"/>
          <w:lang w:eastAsia="zh-CN"/>
        </w:rPr>
        <w:t>招标</w:t>
      </w:r>
      <w:r>
        <w:rPr>
          <w:rFonts w:hint="eastAsia" w:ascii="宋体" w:hAnsi="宋体" w:cs="宋体"/>
          <w:color w:val="auto"/>
          <w:szCs w:val="21"/>
        </w:rPr>
        <w:t>人各项规章制度和保密制度。自觉接受技术培训和指导，掌握服务基本技能，正确操作使用设备设施。因投标</w:t>
      </w:r>
      <w:r>
        <w:rPr>
          <w:rFonts w:hint="eastAsia" w:ascii="宋体" w:hAnsi="宋体" w:cs="宋体"/>
          <w:color w:val="auto"/>
          <w:szCs w:val="21"/>
          <w:lang w:eastAsia="zh-CN"/>
        </w:rPr>
        <w:t>人</w:t>
      </w:r>
      <w:r>
        <w:rPr>
          <w:rFonts w:hint="eastAsia" w:ascii="宋体" w:hAnsi="宋体" w:cs="宋体"/>
          <w:color w:val="auto"/>
          <w:szCs w:val="21"/>
        </w:rPr>
        <w:t>工作人员操作不当、使用不当、管理不当造成设备设施损坏，由投标</w:t>
      </w:r>
      <w:r>
        <w:rPr>
          <w:rFonts w:hint="eastAsia" w:ascii="宋体" w:hAnsi="宋体" w:cs="宋体"/>
          <w:color w:val="auto"/>
          <w:szCs w:val="21"/>
          <w:lang w:eastAsia="zh-CN"/>
        </w:rPr>
        <w:t>人</w:t>
      </w:r>
      <w:r>
        <w:rPr>
          <w:rFonts w:hint="eastAsia" w:ascii="宋体" w:hAnsi="宋体" w:cs="宋体"/>
          <w:color w:val="auto"/>
          <w:szCs w:val="21"/>
        </w:rPr>
        <w:t>负责赔偿经济损失，如造成重大事故，</w:t>
      </w:r>
      <w:r>
        <w:rPr>
          <w:rFonts w:hint="eastAsia" w:ascii="宋体" w:hAnsi="宋体" w:cs="宋体"/>
          <w:color w:val="auto"/>
          <w:szCs w:val="21"/>
          <w:lang w:eastAsia="zh-CN"/>
        </w:rPr>
        <w:t>招标</w:t>
      </w:r>
      <w:r>
        <w:rPr>
          <w:rFonts w:hint="eastAsia" w:ascii="宋体" w:hAnsi="宋体" w:cs="宋体"/>
          <w:color w:val="auto"/>
          <w:szCs w:val="21"/>
        </w:rPr>
        <w:t>人有权立即终止合同，并追究投标</w:t>
      </w:r>
      <w:r>
        <w:rPr>
          <w:rFonts w:hint="eastAsia" w:ascii="宋体" w:hAnsi="宋体" w:cs="宋体"/>
          <w:color w:val="auto"/>
          <w:szCs w:val="21"/>
          <w:lang w:eastAsia="zh-CN"/>
        </w:rPr>
        <w:t>人</w:t>
      </w:r>
      <w:r>
        <w:rPr>
          <w:rFonts w:hint="eastAsia" w:ascii="宋体" w:hAnsi="宋体" w:cs="宋体"/>
          <w:color w:val="auto"/>
          <w:szCs w:val="21"/>
        </w:rPr>
        <w:t>的法律责任；构成一般性事故，损坏不严重的，扣减当月服务费用（全额，约定性赔偿）。</w:t>
      </w:r>
    </w:p>
    <w:p w14:paraId="7D593EA6">
      <w:pPr>
        <w:spacing w:line="540" w:lineRule="exact"/>
        <w:ind w:firstLine="420" w:firstLineChars="200"/>
        <w:rPr>
          <w:rFonts w:ascii="宋体" w:hAnsi="宋体" w:cs="宋体"/>
          <w:color w:val="auto"/>
          <w:szCs w:val="21"/>
        </w:rPr>
      </w:pPr>
      <w:r>
        <w:rPr>
          <w:rFonts w:hint="eastAsia" w:ascii="宋体" w:hAnsi="宋体" w:cs="宋体"/>
          <w:color w:val="auto"/>
          <w:szCs w:val="21"/>
          <w:lang w:val="en-US" w:eastAsia="zh-CN"/>
        </w:rPr>
        <w:t>9.</w:t>
      </w:r>
      <w:r>
        <w:rPr>
          <w:rFonts w:hint="eastAsia" w:ascii="宋体" w:hAnsi="宋体" w:cs="宋体"/>
          <w:color w:val="auto"/>
          <w:szCs w:val="21"/>
        </w:rPr>
        <w:t>投标</w:t>
      </w:r>
      <w:r>
        <w:rPr>
          <w:rFonts w:hint="eastAsia" w:ascii="宋体" w:hAnsi="宋体" w:cs="宋体"/>
          <w:color w:val="auto"/>
          <w:szCs w:val="21"/>
          <w:lang w:eastAsia="zh-CN"/>
        </w:rPr>
        <w:t>人</w:t>
      </w:r>
      <w:r>
        <w:rPr>
          <w:rFonts w:hint="eastAsia" w:ascii="宋体" w:hAnsi="宋体" w:cs="宋体"/>
          <w:color w:val="auto"/>
          <w:szCs w:val="21"/>
        </w:rPr>
        <w:t>必须严格履行消防安全、食品安全等安全生产责任，确保安全。自觉遵守国家法律法规和双方的各项规章制度，严格遵循安全生产规定，杜绝各类事故发生。</w:t>
      </w:r>
    </w:p>
    <w:p w14:paraId="318629E6">
      <w:pPr>
        <w:spacing w:line="540" w:lineRule="exact"/>
        <w:ind w:firstLine="422" w:firstLineChars="200"/>
        <w:rPr>
          <w:rFonts w:ascii="宋体" w:hAnsi="宋体" w:cs="宋体"/>
          <w:b/>
          <w:color w:val="auto"/>
          <w:szCs w:val="21"/>
        </w:rPr>
      </w:pPr>
      <w:r>
        <w:rPr>
          <w:rFonts w:hint="eastAsia" w:ascii="宋体" w:hAnsi="宋体" w:cs="宋体"/>
          <w:b/>
          <w:bCs/>
          <w:color w:val="auto"/>
          <w:szCs w:val="21"/>
        </w:rPr>
        <w:t>三、</w:t>
      </w:r>
      <w:r>
        <w:rPr>
          <w:rFonts w:hint="eastAsia" w:ascii="宋体" w:hAnsi="宋体" w:cs="宋体"/>
          <w:b/>
          <w:color w:val="auto"/>
          <w:szCs w:val="21"/>
        </w:rPr>
        <w:t>项目小组成员（服务人员）要求</w:t>
      </w:r>
    </w:p>
    <w:p w14:paraId="0AD54A50">
      <w:pPr>
        <w:spacing w:line="540" w:lineRule="exact"/>
        <w:ind w:firstLine="420" w:firstLineChars="200"/>
        <w:rPr>
          <w:rFonts w:ascii="宋体" w:hAnsi="宋体" w:cs="宋体"/>
          <w:color w:val="auto"/>
          <w:szCs w:val="21"/>
        </w:rPr>
      </w:pPr>
      <w:r>
        <w:rPr>
          <w:rFonts w:hint="eastAsia" w:ascii="宋体" w:hAnsi="宋体" w:cs="宋体"/>
          <w:color w:val="auto"/>
          <w:szCs w:val="21"/>
        </w:rPr>
        <w:t>1</w:t>
      </w:r>
      <w:r>
        <w:rPr>
          <w:rFonts w:hint="eastAsia" w:ascii="宋体" w:hAnsi="宋体" w:cs="宋体"/>
          <w:color w:val="auto"/>
          <w:szCs w:val="21"/>
          <w:lang w:val="en-US" w:eastAsia="zh-CN"/>
        </w:rPr>
        <w:t>.</w:t>
      </w:r>
      <w:r>
        <w:rPr>
          <w:rFonts w:hint="eastAsia" w:ascii="宋体" w:hAnsi="宋体" w:cs="宋体"/>
          <w:color w:val="auto"/>
          <w:szCs w:val="21"/>
        </w:rPr>
        <w:t>投标</w:t>
      </w:r>
      <w:r>
        <w:rPr>
          <w:rFonts w:hint="eastAsia" w:ascii="宋体" w:hAnsi="宋体" w:cs="宋体"/>
          <w:color w:val="auto"/>
          <w:szCs w:val="21"/>
          <w:lang w:eastAsia="zh-CN"/>
        </w:rPr>
        <w:t>人</w:t>
      </w:r>
      <w:r>
        <w:rPr>
          <w:rFonts w:hint="eastAsia" w:ascii="宋体" w:hAnsi="宋体" w:cs="宋体"/>
          <w:color w:val="auto"/>
          <w:szCs w:val="21"/>
        </w:rPr>
        <w:t>应当根据本项目的实际情况，配备充足的工作人员。如需额外增加人员，增加人员的工资、福利等相关费用由</w:t>
      </w:r>
      <w:r>
        <w:rPr>
          <w:rFonts w:hint="eastAsia" w:ascii="宋体" w:hAnsi="宋体" w:cs="宋体"/>
          <w:color w:val="auto"/>
          <w:szCs w:val="21"/>
          <w:lang w:eastAsia="zh-CN"/>
        </w:rPr>
        <w:t>投标人</w:t>
      </w:r>
      <w:r>
        <w:rPr>
          <w:rFonts w:hint="eastAsia" w:ascii="宋体" w:hAnsi="宋体" w:cs="宋体"/>
          <w:color w:val="auto"/>
          <w:szCs w:val="21"/>
        </w:rPr>
        <w:t>自行承担，与</w:t>
      </w:r>
      <w:r>
        <w:rPr>
          <w:rFonts w:hint="eastAsia" w:ascii="宋体" w:hAnsi="宋体" w:cs="宋体"/>
          <w:color w:val="auto"/>
          <w:szCs w:val="21"/>
          <w:lang w:eastAsia="zh-CN"/>
        </w:rPr>
        <w:t>招标</w:t>
      </w:r>
      <w:r>
        <w:rPr>
          <w:rFonts w:hint="eastAsia" w:ascii="宋体" w:hAnsi="宋体" w:cs="宋体"/>
          <w:color w:val="auto"/>
          <w:szCs w:val="21"/>
        </w:rPr>
        <w:t>人无关。</w:t>
      </w:r>
    </w:p>
    <w:p w14:paraId="207FB06B">
      <w:pPr>
        <w:spacing w:line="540" w:lineRule="exact"/>
        <w:ind w:firstLine="422" w:firstLineChars="200"/>
        <w:rPr>
          <w:rFonts w:ascii="宋体" w:hAnsi="宋体" w:cs="宋体"/>
          <w:b/>
          <w:color w:val="auto"/>
          <w:szCs w:val="21"/>
        </w:rPr>
      </w:pPr>
      <w:r>
        <w:rPr>
          <w:rFonts w:hint="eastAsia" w:ascii="宋体" w:hAnsi="宋体" w:cs="宋体"/>
          <w:b/>
          <w:color w:val="auto"/>
          <w:szCs w:val="21"/>
        </w:rPr>
        <w:t>2</w:t>
      </w:r>
      <w:r>
        <w:rPr>
          <w:rFonts w:hint="eastAsia" w:ascii="宋体" w:hAnsi="宋体" w:cs="宋体"/>
          <w:b/>
          <w:color w:val="auto"/>
          <w:szCs w:val="21"/>
          <w:lang w:val="en-US" w:eastAsia="zh-CN"/>
        </w:rPr>
        <w:t>.</w:t>
      </w:r>
      <w:r>
        <w:rPr>
          <w:rFonts w:hint="eastAsia" w:ascii="宋体" w:hAnsi="宋体" w:cs="宋体"/>
          <w:b/>
          <w:color w:val="auto"/>
          <w:szCs w:val="21"/>
        </w:rPr>
        <w:t>项目小组成员组成及相关要求</w:t>
      </w:r>
    </w:p>
    <w:p w14:paraId="714CF293">
      <w:pPr>
        <w:spacing w:line="400" w:lineRule="exact"/>
        <w:ind w:firstLine="420"/>
        <w:rPr>
          <w:rFonts w:ascii="宋体" w:hAnsi="宋体"/>
          <w:b/>
          <w:color w:val="auto"/>
          <w:szCs w:val="21"/>
        </w:rPr>
      </w:pPr>
      <w:r>
        <w:rPr>
          <w:rFonts w:hint="eastAsia" w:ascii="宋体" w:hAnsi="宋体" w:cs="宋体"/>
          <w:color w:val="auto"/>
          <w:szCs w:val="21"/>
          <w:lang w:val="en-US" w:eastAsia="zh-CN"/>
        </w:rPr>
        <w:t>2.1</w:t>
      </w:r>
      <w:r>
        <w:rPr>
          <w:rFonts w:hint="eastAsia" w:ascii="宋体" w:hAnsi="宋体" w:cs="宋体"/>
          <w:color w:val="auto"/>
          <w:szCs w:val="21"/>
        </w:rPr>
        <w:t>项目经理（</w:t>
      </w:r>
      <w:r>
        <w:rPr>
          <w:rFonts w:hint="eastAsia" w:ascii="宋体" w:hAnsi="宋体" w:cs="宋体"/>
          <w:color w:val="auto"/>
          <w:szCs w:val="21"/>
          <w:highlight w:val="none"/>
        </w:rPr>
        <w:t>机关、</w:t>
      </w:r>
      <w:r>
        <w:rPr>
          <w:rFonts w:hint="eastAsia" w:ascii="宋体" w:hAnsi="宋体" w:cs="宋体"/>
          <w:color w:val="auto"/>
          <w:szCs w:val="21"/>
          <w:highlight w:val="none"/>
          <w:lang w:val="en-US" w:eastAsia="zh-CN"/>
        </w:rPr>
        <w:t>分局执法办案中心和新河警务站</w:t>
      </w:r>
      <w:r>
        <w:rPr>
          <w:rFonts w:hint="eastAsia" w:ascii="宋体" w:hAnsi="宋体" w:cs="宋体"/>
          <w:color w:val="auto"/>
          <w:szCs w:val="21"/>
          <w:highlight w:val="none"/>
          <w:lang w:eastAsia="zh-CN"/>
        </w:rPr>
        <w:t>三</w:t>
      </w:r>
      <w:r>
        <w:rPr>
          <w:rFonts w:hint="eastAsia" w:ascii="宋体" w:hAnsi="宋体" w:cs="宋体"/>
          <w:color w:val="auto"/>
          <w:szCs w:val="21"/>
          <w:highlight w:val="none"/>
        </w:rPr>
        <w:t>个点位总负责人）1人、厨师长（机关、</w:t>
      </w:r>
      <w:r>
        <w:rPr>
          <w:rFonts w:hint="eastAsia" w:ascii="宋体" w:hAnsi="宋体" w:cs="宋体"/>
          <w:color w:val="auto"/>
          <w:szCs w:val="21"/>
          <w:highlight w:val="none"/>
          <w:lang w:val="en-US" w:eastAsia="zh-CN"/>
        </w:rPr>
        <w:t>分局执法办案中心和新河警务站</w:t>
      </w:r>
      <w:r>
        <w:rPr>
          <w:rFonts w:hint="eastAsia" w:ascii="宋体" w:hAnsi="宋体" w:cs="宋体"/>
          <w:color w:val="auto"/>
          <w:szCs w:val="21"/>
          <w:lang w:eastAsia="zh-CN"/>
        </w:rPr>
        <w:t>三</w:t>
      </w:r>
      <w:r>
        <w:rPr>
          <w:rFonts w:hint="eastAsia" w:ascii="宋体" w:hAnsi="宋体" w:cs="宋体"/>
          <w:color w:val="auto"/>
          <w:szCs w:val="21"/>
        </w:rPr>
        <w:t>个点位厨房负责人）</w:t>
      </w:r>
      <w:r>
        <w:rPr>
          <w:rFonts w:ascii="宋体" w:hAnsi="宋体" w:cs="宋体"/>
          <w:color w:val="auto"/>
          <w:szCs w:val="21"/>
        </w:rPr>
        <w:t>1</w:t>
      </w:r>
      <w:r>
        <w:rPr>
          <w:rFonts w:hint="eastAsia" w:ascii="宋体" w:hAnsi="宋体" w:cs="宋体"/>
          <w:color w:val="auto"/>
          <w:szCs w:val="21"/>
        </w:rPr>
        <w:t>人、厨师</w:t>
      </w:r>
      <w:r>
        <w:rPr>
          <w:rFonts w:hint="eastAsia" w:ascii="宋体" w:hAnsi="宋体" w:cs="宋体"/>
          <w:color w:val="auto"/>
          <w:szCs w:val="21"/>
          <w:lang w:val="en-US" w:eastAsia="zh-CN"/>
        </w:rPr>
        <w:t>4</w:t>
      </w:r>
      <w:r>
        <w:rPr>
          <w:rFonts w:hint="eastAsia" w:ascii="宋体" w:hAnsi="宋体" w:cs="宋体"/>
          <w:color w:val="auto"/>
          <w:szCs w:val="21"/>
        </w:rPr>
        <w:t>人、服务员</w:t>
      </w:r>
      <w:r>
        <w:rPr>
          <w:rFonts w:hint="eastAsia" w:ascii="宋体" w:hAnsi="宋体" w:cs="宋体"/>
          <w:color w:val="auto"/>
          <w:szCs w:val="21"/>
          <w:lang w:val="en-US" w:eastAsia="zh-CN"/>
        </w:rPr>
        <w:t>2</w:t>
      </w:r>
      <w:r>
        <w:rPr>
          <w:rFonts w:hint="eastAsia" w:ascii="宋体" w:hAnsi="宋体" w:cs="宋体"/>
          <w:color w:val="auto"/>
          <w:szCs w:val="21"/>
        </w:rPr>
        <w:t>人、</w:t>
      </w:r>
      <w:r>
        <w:rPr>
          <w:rFonts w:hint="eastAsia" w:ascii="宋体" w:hAnsi="宋体" w:cs="宋体"/>
          <w:color w:val="auto"/>
          <w:szCs w:val="21"/>
          <w:lang w:eastAsia="zh-CN"/>
        </w:rPr>
        <w:t>勤杂</w:t>
      </w:r>
      <w:r>
        <w:rPr>
          <w:rFonts w:hint="eastAsia" w:ascii="宋体" w:hAnsi="宋体" w:cs="宋体"/>
          <w:color w:val="auto"/>
          <w:szCs w:val="21"/>
        </w:rPr>
        <w:t>工</w:t>
      </w:r>
      <w:r>
        <w:rPr>
          <w:rFonts w:hint="eastAsia" w:ascii="宋体" w:hAnsi="宋体" w:cs="宋体"/>
          <w:color w:val="auto"/>
          <w:szCs w:val="21"/>
          <w:lang w:val="en-US" w:eastAsia="zh-CN"/>
        </w:rPr>
        <w:t>9</w:t>
      </w:r>
      <w:r>
        <w:rPr>
          <w:rFonts w:hint="eastAsia" w:ascii="宋体" w:hAnsi="宋体" w:cs="宋体"/>
          <w:color w:val="auto"/>
          <w:szCs w:val="21"/>
        </w:rPr>
        <w:t>人。</w:t>
      </w:r>
      <w:r>
        <w:rPr>
          <w:rFonts w:hint="eastAsia" w:ascii="宋体" w:hAnsi="宋体"/>
          <w:b/>
          <w:color w:val="auto"/>
          <w:szCs w:val="21"/>
        </w:rPr>
        <w:t>岗位设置服务人数为最低要求，投标</w:t>
      </w:r>
      <w:r>
        <w:rPr>
          <w:rFonts w:hint="eastAsia" w:ascii="宋体" w:hAnsi="宋体"/>
          <w:b/>
          <w:color w:val="auto"/>
          <w:szCs w:val="21"/>
          <w:lang w:val="en-US" w:eastAsia="zh-CN"/>
        </w:rPr>
        <w:t>人</w:t>
      </w:r>
      <w:r>
        <w:rPr>
          <w:rFonts w:hint="eastAsia" w:ascii="宋体" w:hAnsi="宋体"/>
          <w:b/>
          <w:color w:val="auto"/>
          <w:szCs w:val="21"/>
        </w:rPr>
        <w:t>必须保证不低于以上标准。</w:t>
      </w:r>
    </w:p>
    <w:p w14:paraId="7A3A72F6">
      <w:pPr>
        <w:spacing w:line="540" w:lineRule="exact"/>
        <w:ind w:firstLine="422" w:firstLineChars="200"/>
        <w:rPr>
          <w:rFonts w:hint="eastAsia" w:ascii="宋体" w:hAnsi="宋体" w:cs="宋体"/>
          <w:b/>
          <w:bCs/>
          <w:color w:val="auto"/>
          <w:szCs w:val="21"/>
        </w:rPr>
      </w:pPr>
      <w:r>
        <w:rPr>
          <w:rFonts w:hint="eastAsia" w:ascii="宋体" w:hAnsi="宋体" w:cs="宋体"/>
          <w:b/>
          <w:bCs/>
          <w:color w:val="auto"/>
          <w:szCs w:val="21"/>
          <w:lang w:val="en-US" w:eastAsia="zh-CN"/>
        </w:rPr>
        <w:t>2.2</w:t>
      </w:r>
      <w:r>
        <w:rPr>
          <w:rFonts w:hint="eastAsia" w:ascii="宋体" w:hAnsi="宋体" w:cs="宋体"/>
          <w:b/>
          <w:bCs/>
          <w:color w:val="auto"/>
          <w:szCs w:val="21"/>
        </w:rPr>
        <w:t>投标</w:t>
      </w:r>
      <w:r>
        <w:rPr>
          <w:rFonts w:hint="eastAsia" w:ascii="宋体" w:hAnsi="宋体" w:cs="宋体"/>
          <w:b/>
          <w:bCs/>
          <w:color w:val="auto"/>
          <w:szCs w:val="21"/>
          <w:lang w:eastAsia="zh-CN"/>
        </w:rPr>
        <w:t>人</w:t>
      </w:r>
      <w:r>
        <w:rPr>
          <w:rFonts w:hint="eastAsia" w:ascii="宋体" w:hAnsi="宋体" w:cs="宋体"/>
          <w:b/>
          <w:bCs/>
          <w:color w:val="auto"/>
          <w:szCs w:val="21"/>
        </w:rPr>
        <w:t>项目小组所有成员年龄须在</w:t>
      </w:r>
      <w:r>
        <w:rPr>
          <w:rFonts w:hint="eastAsia" w:ascii="宋体" w:hAnsi="宋体" w:cs="宋体"/>
          <w:b/>
          <w:bCs/>
          <w:color w:val="auto"/>
          <w:szCs w:val="21"/>
          <w:lang w:val="en-US" w:eastAsia="zh-CN"/>
        </w:rPr>
        <w:t>55</w:t>
      </w:r>
      <w:r>
        <w:rPr>
          <w:rFonts w:hint="eastAsia" w:ascii="宋体" w:hAnsi="宋体" w:cs="宋体"/>
          <w:b/>
          <w:bCs/>
          <w:color w:val="auto"/>
          <w:szCs w:val="21"/>
        </w:rPr>
        <w:t>周岁以下。其中，项目负责人</w:t>
      </w:r>
      <w:r>
        <w:rPr>
          <w:rFonts w:hint="eastAsia" w:ascii="宋体" w:hAnsi="宋体" w:cs="宋体"/>
          <w:b/>
          <w:bCs/>
          <w:color w:val="auto"/>
          <w:szCs w:val="21"/>
          <w:lang w:val="en-US" w:eastAsia="zh-CN"/>
        </w:rPr>
        <w:t>45</w:t>
      </w:r>
      <w:r>
        <w:rPr>
          <w:rFonts w:hint="eastAsia" w:ascii="宋体" w:hAnsi="宋体" w:cs="宋体"/>
          <w:b/>
          <w:bCs/>
          <w:color w:val="auto"/>
          <w:szCs w:val="21"/>
        </w:rPr>
        <w:t>周岁以下，食堂服务员为</w:t>
      </w:r>
      <w:r>
        <w:rPr>
          <w:rFonts w:hint="eastAsia" w:ascii="宋体" w:hAnsi="宋体" w:cs="宋体"/>
          <w:b/>
          <w:bCs/>
          <w:color w:val="auto"/>
          <w:szCs w:val="21"/>
          <w:lang w:val="en-US" w:eastAsia="zh-CN"/>
        </w:rPr>
        <w:t>45</w:t>
      </w:r>
      <w:r>
        <w:rPr>
          <w:rFonts w:hint="eastAsia" w:ascii="宋体" w:hAnsi="宋体" w:cs="宋体"/>
          <w:b/>
          <w:bCs/>
          <w:color w:val="auto"/>
          <w:szCs w:val="21"/>
        </w:rPr>
        <w:t>周岁以下女性，其他人员</w:t>
      </w:r>
      <w:r>
        <w:rPr>
          <w:rFonts w:hint="eastAsia" w:ascii="宋体" w:hAnsi="宋体"/>
          <w:b/>
          <w:bCs/>
          <w:color w:val="auto"/>
          <w:szCs w:val="21"/>
        </w:rPr>
        <w:t>男性</w:t>
      </w:r>
      <w:r>
        <w:rPr>
          <w:rFonts w:hint="eastAsia" w:ascii="宋体" w:hAnsi="宋体"/>
          <w:b/>
          <w:bCs/>
          <w:color w:val="auto"/>
          <w:szCs w:val="21"/>
          <w:lang w:val="en-US" w:eastAsia="zh-CN"/>
        </w:rPr>
        <w:t>55</w:t>
      </w:r>
      <w:r>
        <w:rPr>
          <w:rFonts w:hint="eastAsia" w:ascii="宋体" w:hAnsi="宋体"/>
          <w:b/>
          <w:bCs/>
          <w:color w:val="auto"/>
          <w:szCs w:val="21"/>
        </w:rPr>
        <w:t>周岁以下、女性</w:t>
      </w:r>
      <w:r>
        <w:rPr>
          <w:rFonts w:hint="eastAsia" w:ascii="宋体" w:hAnsi="宋体"/>
          <w:b/>
          <w:bCs/>
          <w:color w:val="auto"/>
          <w:szCs w:val="21"/>
          <w:lang w:val="en-US" w:eastAsia="zh-CN"/>
        </w:rPr>
        <w:t>50</w:t>
      </w:r>
      <w:r>
        <w:rPr>
          <w:rFonts w:hint="eastAsia" w:ascii="宋体" w:hAnsi="宋体"/>
          <w:b/>
          <w:bCs/>
          <w:color w:val="auto"/>
          <w:szCs w:val="21"/>
        </w:rPr>
        <w:t>周岁以下</w:t>
      </w:r>
      <w:r>
        <w:rPr>
          <w:rFonts w:hint="eastAsia" w:ascii="宋体" w:hAnsi="宋体" w:cs="宋体"/>
          <w:b/>
          <w:bCs/>
          <w:color w:val="auto"/>
          <w:szCs w:val="21"/>
        </w:rPr>
        <w:t>，身体健康，无传染病，持有有效《健康证》。</w:t>
      </w:r>
    </w:p>
    <w:p w14:paraId="4CDD91D4">
      <w:pPr>
        <w:spacing w:line="400" w:lineRule="exact"/>
        <w:ind w:firstLine="420"/>
        <w:rPr>
          <w:rFonts w:hint="eastAsia" w:ascii="宋体" w:hAnsi="宋体" w:cs="宋体"/>
          <w:b/>
          <w:bCs/>
          <w:i/>
          <w:iCs/>
          <w:color w:val="auto"/>
          <w:szCs w:val="21"/>
          <w:highlight w:val="none"/>
          <w:u w:val="single"/>
          <w:lang w:eastAsia="zh-CN"/>
        </w:rPr>
      </w:pPr>
      <w:r>
        <w:rPr>
          <w:rFonts w:hint="eastAsia" w:ascii="宋体" w:hAnsi="宋体" w:cs="宋体"/>
          <w:b/>
          <w:bCs/>
          <w:i w:val="0"/>
          <w:iCs w:val="0"/>
          <w:color w:val="auto"/>
          <w:szCs w:val="21"/>
          <w:highlight w:val="none"/>
          <w:u w:val="none"/>
          <w:lang w:val="en-US" w:eastAsia="zh-CN"/>
        </w:rPr>
        <w:t>2.3</w:t>
      </w:r>
      <w:r>
        <w:rPr>
          <w:rFonts w:hint="eastAsia" w:ascii="宋体" w:hAnsi="宋体" w:cs="宋体"/>
          <w:b/>
          <w:bCs/>
          <w:i/>
          <w:iCs/>
          <w:color w:val="auto"/>
          <w:szCs w:val="21"/>
          <w:highlight w:val="none"/>
          <w:u w:val="single"/>
          <w:lang w:val="en-US" w:eastAsia="zh-CN"/>
        </w:rPr>
        <w:t>★项目经理1人须具有党政机关、事业单位、企业食堂3年（含）以上同类职务任职经历【</w:t>
      </w:r>
      <w:r>
        <w:rPr>
          <w:rFonts w:hint="eastAsia" w:ascii="宋体" w:hAnsi="宋体" w:eastAsia="宋体" w:cs="宋体"/>
          <w:b/>
          <w:bCs/>
          <w:i/>
          <w:iCs/>
          <w:color w:val="auto"/>
          <w:sz w:val="21"/>
          <w:szCs w:val="21"/>
          <w:highlight w:val="none"/>
          <w:u w:val="single"/>
          <w:lang w:eastAsia="zh-CN"/>
        </w:rPr>
        <w:t>投标时提供</w:t>
      </w:r>
      <w:r>
        <w:rPr>
          <w:rFonts w:hint="eastAsia" w:ascii="宋体" w:hAnsi="宋体" w:cs="宋体"/>
          <w:b/>
          <w:bCs/>
          <w:i/>
          <w:iCs/>
          <w:color w:val="auto"/>
          <w:szCs w:val="21"/>
          <w:highlight w:val="none"/>
          <w:u w:val="single"/>
          <w:lang w:val="en-US" w:eastAsia="zh-CN"/>
        </w:rPr>
        <w:t>“包含所在单位、任职职务以及其任职时间”等相关证明材料（格式自拟）</w:t>
      </w:r>
      <w:r>
        <w:rPr>
          <w:rFonts w:hint="eastAsia" w:ascii="宋体" w:hAnsi="宋体" w:eastAsia="宋体" w:cs="宋体"/>
          <w:b/>
          <w:bCs/>
          <w:i/>
          <w:iCs/>
          <w:color w:val="auto"/>
          <w:sz w:val="21"/>
          <w:szCs w:val="21"/>
          <w:highlight w:val="none"/>
          <w:u w:val="single"/>
          <w:lang w:eastAsia="zh-CN"/>
        </w:rPr>
        <w:t>及投标人为其</w:t>
      </w:r>
      <w:r>
        <w:rPr>
          <w:rFonts w:hint="eastAsia" w:ascii="宋体" w:hAnsi="宋体" w:eastAsia="宋体" w:cs="宋体"/>
          <w:b/>
          <w:bCs/>
          <w:i/>
          <w:iCs/>
          <w:color w:val="auto"/>
          <w:sz w:val="21"/>
          <w:szCs w:val="21"/>
          <w:highlight w:val="none"/>
          <w:u w:val="single"/>
          <w:lang w:val="en-US" w:eastAsia="zh-CN"/>
        </w:rPr>
        <w:t>缴</w:t>
      </w:r>
      <w:r>
        <w:rPr>
          <w:rFonts w:hint="eastAsia" w:ascii="宋体" w:hAnsi="宋体" w:eastAsia="宋体" w:cs="宋体"/>
          <w:b/>
          <w:bCs/>
          <w:i/>
          <w:iCs/>
          <w:color w:val="auto"/>
          <w:sz w:val="21"/>
          <w:szCs w:val="21"/>
          <w:highlight w:val="none"/>
          <w:u w:val="single"/>
        </w:rPr>
        <w:t>纳近3个月以来任意1个月的社保证明材料</w:t>
      </w:r>
      <w:r>
        <w:rPr>
          <w:rFonts w:hint="eastAsia" w:ascii="宋体" w:hAnsi="宋体" w:eastAsia="宋体" w:cs="宋体"/>
          <w:b/>
          <w:bCs/>
          <w:i/>
          <w:iCs/>
          <w:color w:val="auto"/>
          <w:sz w:val="21"/>
          <w:szCs w:val="21"/>
          <w:highlight w:val="none"/>
          <w:u w:val="single"/>
          <w:lang w:eastAsia="zh-CN"/>
        </w:rPr>
        <w:t>扫描件</w:t>
      </w:r>
      <w:r>
        <w:rPr>
          <w:rFonts w:hint="eastAsia" w:ascii="宋体" w:hAnsi="宋体" w:eastAsia="宋体" w:cs="宋体"/>
          <w:b/>
          <w:bCs/>
          <w:i/>
          <w:iCs/>
          <w:color w:val="auto"/>
          <w:sz w:val="21"/>
          <w:szCs w:val="21"/>
          <w:highlight w:val="none"/>
          <w:u w:val="single"/>
        </w:rPr>
        <w:t>并加盖投标人公章</w:t>
      </w:r>
      <w:r>
        <w:rPr>
          <w:rFonts w:hint="eastAsia" w:ascii="宋体" w:hAnsi="宋体" w:eastAsia="宋体" w:cs="宋体"/>
          <w:b/>
          <w:bCs/>
          <w:i/>
          <w:iCs/>
          <w:color w:val="auto"/>
          <w:sz w:val="21"/>
          <w:szCs w:val="21"/>
          <w:highlight w:val="none"/>
          <w:u w:val="single"/>
          <w:lang w:eastAsia="zh-CN"/>
        </w:rPr>
        <w:t>。</w:t>
      </w:r>
      <w:r>
        <w:rPr>
          <w:rFonts w:hint="eastAsia" w:ascii="宋体" w:hAnsi="宋体" w:cs="宋体"/>
          <w:b/>
          <w:bCs/>
          <w:i/>
          <w:iCs/>
          <w:color w:val="auto"/>
          <w:szCs w:val="21"/>
          <w:highlight w:val="none"/>
          <w:u w:val="single"/>
          <w:lang w:val="en-US" w:eastAsia="zh-CN"/>
        </w:rPr>
        <w:t>】</w:t>
      </w:r>
      <w:r>
        <w:rPr>
          <w:rFonts w:hint="eastAsia" w:ascii="宋体" w:hAnsi="宋体" w:eastAsia="宋体" w:cs="宋体"/>
          <w:b/>
          <w:bCs/>
          <w:i/>
          <w:iCs/>
          <w:color w:val="auto"/>
          <w:sz w:val="21"/>
          <w:szCs w:val="21"/>
          <w:highlight w:val="none"/>
          <w:u w:val="single"/>
          <w:lang w:eastAsia="zh-CN"/>
        </w:rPr>
        <w:t>项目组全员须</w:t>
      </w:r>
      <w:r>
        <w:rPr>
          <w:rFonts w:hint="eastAsia" w:ascii="宋体" w:hAnsi="宋体" w:cs="宋体"/>
          <w:b/>
          <w:bCs/>
          <w:i/>
          <w:iCs/>
          <w:color w:val="auto"/>
          <w:szCs w:val="21"/>
          <w:highlight w:val="none"/>
          <w:u w:val="single"/>
        </w:rPr>
        <w:t>持有有效《健康证》（</w:t>
      </w:r>
      <w:r>
        <w:rPr>
          <w:rFonts w:hint="eastAsia" w:ascii="宋体" w:hAnsi="宋体" w:cs="宋体"/>
          <w:b/>
          <w:bCs/>
          <w:i/>
          <w:iCs/>
          <w:color w:val="auto"/>
          <w:szCs w:val="21"/>
          <w:highlight w:val="none"/>
          <w:u w:val="single"/>
          <w:lang w:val="en-US" w:eastAsia="zh-CN"/>
        </w:rPr>
        <w:t>投标时提供承诺函（格式自拟），中标后提供项目组全员“</w:t>
      </w:r>
      <w:r>
        <w:rPr>
          <w:rFonts w:hint="eastAsia" w:ascii="宋体" w:hAnsi="宋体" w:cs="宋体"/>
          <w:b/>
          <w:bCs/>
          <w:i/>
          <w:iCs/>
          <w:color w:val="auto"/>
          <w:szCs w:val="21"/>
          <w:highlight w:val="none"/>
          <w:u w:val="single"/>
        </w:rPr>
        <w:t>健康证</w:t>
      </w:r>
      <w:r>
        <w:rPr>
          <w:rFonts w:hint="eastAsia" w:ascii="宋体" w:hAnsi="宋体" w:cs="宋体"/>
          <w:b/>
          <w:bCs/>
          <w:i/>
          <w:iCs/>
          <w:color w:val="auto"/>
          <w:szCs w:val="21"/>
          <w:highlight w:val="none"/>
          <w:u w:val="single"/>
          <w:lang w:eastAsia="zh-CN"/>
        </w:rPr>
        <w:t>”原件</w:t>
      </w:r>
      <w:r>
        <w:rPr>
          <w:rFonts w:hint="eastAsia" w:ascii="宋体" w:hAnsi="宋体" w:cs="宋体"/>
          <w:b/>
          <w:bCs/>
          <w:i/>
          <w:iCs/>
          <w:color w:val="auto"/>
          <w:szCs w:val="21"/>
          <w:highlight w:val="none"/>
          <w:u w:val="single"/>
          <w:lang w:val="en-US" w:eastAsia="zh-CN"/>
        </w:rPr>
        <w:t>以及</w:t>
      </w:r>
      <w:r>
        <w:rPr>
          <w:rFonts w:hint="eastAsia" w:ascii="宋体" w:hAnsi="宋体" w:cs="宋体"/>
          <w:b/>
          <w:bCs/>
          <w:i/>
          <w:iCs/>
          <w:color w:val="auto"/>
          <w:szCs w:val="21"/>
          <w:highlight w:val="none"/>
          <w:u w:val="single"/>
        </w:rPr>
        <w:t>“身份证”</w:t>
      </w:r>
      <w:r>
        <w:rPr>
          <w:rFonts w:hint="eastAsia" w:ascii="宋体" w:hAnsi="宋体" w:cs="宋体"/>
          <w:b/>
          <w:bCs/>
          <w:i/>
          <w:iCs/>
          <w:color w:val="auto"/>
          <w:szCs w:val="21"/>
          <w:highlight w:val="none"/>
          <w:u w:val="single"/>
          <w:lang w:eastAsia="zh-CN"/>
        </w:rPr>
        <w:t>原件给招标人核查）。</w:t>
      </w:r>
      <w:r>
        <w:rPr>
          <w:rFonts w:hint="eastAsia" w:ascii="宋体" w:hAnsi="宋体" w:eastAsia="宋体" w:cs="宋体"/>
          <w:b/>
          <w:bCs/>
          <w:i/>
          <w:iCs/>
          <w:color w:val="auto"/>
          <w:sz w:val="21"/>
          <w:szCs w:val="21"/>
          <w:highlight w:val="none"/>
          <w:u w:val="single"/>
          <w:lang w:eastAsia="zh-CN"/>
        </w:rPr>
        <w:t>此条款为实质性条款，不接受负偏离，否则按不实质响应招标文件处理。</w:t>
      </w:r>
    </w:p>
    <w:p w14:paraId="4930C482">
      <w:pPr>
        <w:spacing w:line="400" w:lineRule="exact"/>
        <w:ind w:firstLine="420"/>
        <w:rPr>
          <w:rFonts w:ascii="宋体" w:hAnsi="宋体" w:cs="宋体"/>
          <w:color w:val="auto"/>
          <w:szCs w:val="21"/>
        </w:rPr>
      </w:pPr>
      <w:r>
        <w:rPr>
          <w:rFonts w:hint="eastAsia" w:ascii="宋体" w:hAnsi="宋体" w:cs="宋体"/>
          <w:color w:val="auto"/>
          <w:szCs w:val="21"/>
          <w:lang w:val="en-US" w:eastAsia="zh-CN"/>
        </w:rPr>
        <w:t>3.投标人</w:t>
      </w:r>
      <w:r>
        <w:rPr>
          <w:rFonts w:hint="eastAsia" w:ascii="宋体" w:hAnsi="宋体" w:cs="宋体"/>
          <w:color w:val="auto"/>
          <w:szCs w:val="21"/>
        </w:rPr>
        <w:t>项目小组所有成员身体裸露部分不得有纹身。男员工不得留胡须、蓄长发，女员工不得浓妆艳抹或佩戴不当的饰物。所有成员工作时间应着统一工作服、戴工帽，菜肴制作时应戴口罩，打菜时应戴口罩和一次性手套。在工作前及处理食品原料后、便后要用肥皂及流动清水洗手，制作直接用手接触入口食品前应用热水洗手消毒。</w:t>
      </w:r>
    </w:p>
    <w:p w14:paraId="7AD98522">
      <w:pPr>
        <w:spacing w:line="540" w:lineRule="exact"/>
        <w:ind w:firstLine="420" w:firstLineChars="200"/>
        <w:rPr>
          <w:rFonts w:ascii="宋体" w:hAnsi="宋体" w:cs="宋体"/>
          <w:color w:val="auto"/>
          <w:szCs w:val="21"/>
        </w:rPr>
      </w:pPr>
      <w:r>
        <w:rPr>
          <w:rFonts w:hint="eastAsia" w:ascii="宋体" w:hAnsi="宋体" w:cs="宋体"/>
          <w:color w:val="auto"/>
          <w:szCs w:val="21"/>
        </w:rPr>
        <w:t>4</w:t>
      </w:r>
      <w:r>
        <w:rPr>
          <w:rFonts w:hint="eastAsia" w:ascii="宋体" w:hAnsi="宋体" w:cs="宋体"/>
          <w:color w:val="auto"/>
          <w:szCs w:val="21"/>
          <w:lang w:val="en-US" w:eastAsia="zh-CN"/>
        </w:rPr>
        <w:t>.</w:t>
      </w:r>
      <w:r>
        <w:rPr>
          <w:rFonts w:hint="eastAsia" w:ascii="宋体" w:hAnsi="宋体" w:cs="宋体"/>
          <w:color w:val="auto"/>
          <w:szCs w:val="21"/>
        </w:rPr>
        <w:t>投标</w:t>
      </w:r>
      <w:r>
        <w:rPr>
          <w:rFonts w:hint="eastAsia" w:ascii="宋体" w:hAnsi="宋体" w:cs="宋体"/>
          <w:color w:val="auto"/>
          <w:szCs w:val="21"/>
          <w:lang w:eastAsia="zh-CN"/>
        </w:rPr>
        <w:t>人</w:t>
      </w:r>
      <w:r>
        <w:rPr>
          <w:rFonts w:hint="eastAsia" w:ascii="宋体" w:hAnsi="宋体" w:cs="宋体"/>
          <w:color w:val="auto"/>
          <w:szCs w:val="21"/>
        </w:rPr>
        <w:t>项目小组所有成员应当严格劳动纪律，严禁带朋友或亲戚进入工作场所，严禁脱岗、串岗，严禁在服务作业区域内抽烟、吃零食、闲谈等，工作中使用语言要文明，举止要大方。</w:t>
      </w:r>
    </w:p>
    <w:p w14:paraId="30B39C10">
      <w:pPr>
        <w:spacing w:line="540" w:lineRule="exact"/>
        <w:ind w:firstLine="420" w:firstLineChars="200"/>
        <w:rPr>
          <w:rFonts w:ascii="宋体" w:hAnsi="宋体" w:cs="宋体"/>
          <w:color w:val="auto"/>
          <w:szCs w:val="21"/>
        </w:rPr>
      </w:pPr>
      <w:r>
        <w:rPr>
          <w:rFonts w:hint="eastAsia" w:ascii="宋体" w:hAnsi="宋体" w:cs="宋体"/>
          <w:color w:val="auto"/>
          <w:szCs w:val="21"/>
        </w:rPr>
        <w:t>5</w:t>
      </w:r>
      <w:r>
        <w:rPr>
          <w:rFonts w:hint="eastAsia" w:ascii="宋体" w:hAnsi="宋体" w:cs="宋体"/>
          <w:color w:val="auto"/>
          <w:szCs w:val="21"/>
          <w:lang w:val="en-US" w:eastAsia="zh-CN"/>
        </w:rPr>
        <w:t>.</w:t>
      </w:r>
      <w:r>
        <w:rPr>
          <w:rFonts w:hint="eastAsia" w:ascii="宋体" w:hAnsi="宋体" w:cs="宋体"/>
          <w:color w:val="auto"/>
          <w:szCs w:val="21"/>
        </w:rPr>
        <w:t>投标</w:t>
      </w:r>
      <w:r>
        <w:rPr>
          <w:rFonts w:hint="eastAsia" w:ascii="宋体" w:hAnsi="宋体" w:cs="宋体"/>
          <w:color w:val="auto"/>
          <w:szCs w:val="21"/>
          <w:lang w:eastAsia="zh-CN"/>
        </w:rPr>
        <w:t>人</w:t>
      </w:r>
      <w:r>
        <w:rPr>
          <w:rFonts w:hint="eastAsia" w:ascii="宋体" w:hAnsi="宋体" w:cs="宋体"/>
          <w:color w:val="auto"/>
          <w:szCs w:val="21"/>
        </w:rPr>
        <w:t>项目小组所有成员应熟练掌握消防安全常识，严格执行消防安全标准，严格遵守天然气操作规范，定期对管道、气阀等进行检查、防止发生燃气泄露，做到人走灯灭，人走水停，注重节约，确保安全。</w:t>
      </w:r>
    </w:p>
    <w:p w14:paraId="2D6C2FEA">
      <w:pPr>
        <w:spacing w:line="540" w:lineRule="exact"/>
        <w:ind w:firstLine="420" w:firstLineChars="200"/>
        <w:rPr>
          <w:rFonts w:ascii="宋体" w:hAnsi="宋体" w:cs="宋体"/>
          <w:color w:val="auto"/>
          <w:szCs w:val="21"/>
        </w:rPr>
      </w:pPr>
      <w:r>
        <w:rPr>
          <w:rFonts w:hint="eastAsia" w:ascii="宋体" w:hAnsi="宋体" w:cs="宋体"/>
          <w:color w:val="auto"/>
          <w:szCs w:val="21"/>
        </w:rPr>
        <w:t>6</w:t>
      </w:r>
      <w:r>
        <w:rPr>
          <w:rFonts w:hint="eastAsia" w:ascii="宋体" w:hAnsi="宋体" w:cs="宋体"/>
          <w:color w:val="auto"/>
          <w:szCs w:val="21"/>
          <w:lang w:val="en-US" w:eastAsia="zh-CN"/>
        </w:rPr>
        <w:t>.</w:t>
      </w:r>
      <w:r>
        <w:rPr>
          <w:rFonts w:hint="eastAsia" w:ascii="宋体" w:hAnsi="宋体" w:cs="宋体"/>
          <w:color w:val="auto"/>
          <w:szCs w:val="21"/>
        </w:rPr>
        <w:t>投标</w:t>
      </w:r>
      <w:r>
        <w:rPr>
          <w:rFonts w:hint="eastAsia" w:ascii="宋体" w:hAnsi="宋体" w:cs="宋体"/>
          <w:color w:val="auto"/>
          <w:szCs w:val="21"/>
          <w:lang w:eastAsia="zh-CN"/>
        </w:rPr>
        <w:t>人</w:t>
      </w:r>
      <w:r>
        <w:rPr>
          <w:rFonts w:hint="eastAsia" w:ascii="宋体" w:hAnsi="宋体" w:cs="宋体"/>
          <w:color w:val="auto"/>
          <w:szCs w:val="21"/>
        </w:rPr>
        <w:t>要对项目小组所有成员实施考勤、督查和考核，每月将考勤、督查和考核情况向</w:t>
      </w:r>
      <w:r>
        <w:rPr>
          <w:rFonts w:hint="eastAsia" w:ascii="宋体" w:hAnsi="宋体" w:cs="宋体"/>
          <w:color w:val="auto"/>
          <w:szCs w:val="21"/>
          <w:lang w:eastAsia="zh-CN"/>
        </w:rPr>
        <w:t>招标</w:t>
      </w:r>
      <w:r>
        <w:rPr>
          <w:rFonts w:hint="eastAsia" w:ascii="宋体" w:hAnsi="宋体" w:cs="宋体"/>
          <w:color w:val="auto"/>
          <w:szCs w:val="21"/>
        </w:rPr>
        <w:t>人进行反馈。</w:t>
      </w:r>
    </w:p>
    <w:p w14:paraId="58E6260E">
      <w:pPr>
        <w:spacing w:line="540" w:lineRule="exact"/>
        <w:ind w:firstLine="420" w:firstLineChars="200"/>
        <w:rPr>
          <w:rFonts w:ascii="宋体" w:hAnsi="宋体" w:cs="宋体"/>
          <w:color w:val="auto"/>
          <w:szCs w:val="21"/>
        </w:rPr>
      </w:pPr>
      <w:r>
        <w:rPr>
          <w:rFonts w:hint="eastAsia" w:ascii="宋体" w:hAnsi="宋体" w:cs="宋体"/>
          <w:color w:val="auto"/>
          <w:szCs w:val="21"/>
        </w:rPr>
        <w:t>7</w:t>
      </w:r>
      <w:r>
        <w:rPr>
          <w:rFonts w:hint="eastAsia" w:ascii="宋体" w:hAnsi="宋体" w:cs="宋体"/>
          <w:color w:val="auto"/>
          <w:szCs w:val="21"/>
          <w:lang w:val="en-US" w:eastAsia="zh-CN"/>
        </w:rPr>
        <w:t>.</w:t>
      </w:r>
      <w:r>
        <w:rPr>
          <w:rFonts w:hint="eastAsia" w:ascii="宋体" w:hAnsi="宋体" w:cs="宋体"/>
          <w:color w:val="auto"/>
          <w:szCs w:val="21"/>
        </w:rPr>
        <w:t>投标</w:t>
      </w:r>
      <w:r>
        <w:rPr>
          <w:rFonts w:hint="eastAsia" w:ascii="宋体" w:hAnsi="宋体" w:cs="宋体"/>
          <w:color w:val="auto"/>
          <w:szCs w:val="21"/>
          <w:lang w:eastAsia="zh-CN"/>
        </w:rPr>
        <w:t>人</w:t>
      </w:r>
      <w:r>
        <w:rPr>
          <w:rFonts w:hint="eastAsia" w:ascii="宋体" w:hAnsi="宋体" w:cs="宋体"/>
          <w:color w:val="auto"/>
          <w:szCs w:val="21"/>
        </w:rPr>
        <w:t>需确保项目小组所有成员政治面貌良好、无不良嗜好、无犯罪记录、无失信记录等，并向</w:t>
      </w:r>
      <w:r>
        <w:rPr>
          <w:rFonts w:hint="eastAsia" w:ascii="宋体" w:hAnsi="宋体" w:cs="宋体"/>
          <w:color w:val="auto"/>
          <w:szCs w:val="21"/>
          <w:lang w:eastAsia="zh-CN"/>
        </w:rPr>
        <w:t>采购</w:t>
      </w:r>
      <w:r>
        <w:rPr>
          <w:rFonts w:hint="eastAsia" w:ascii="宋体" w:hAnsi="宋体" w:cs="宋体"/>
          <w:color w:val="auto"/>
          <w:szCs w:val="21"/>
        </w:rPr>
        <w:t>人提供所有配备人员本人身份证原件，允许</w:t>
      </w:r>
      <w:r>
        <w:rPr>
          <w:rFonts w:hint="eastAsia" w:ascii="宋体" w:hAnsi="宋体" w:cs="宋体"/>
          <w:color w:val="auto"/>
          <w:szCs w:val="21"/>
          <w:lang w:eastAsia="zh-CN"/>
        </w:rPr>
        <w:t>招标</w:t>
      </w:r>
      <w:r>
        <w:rPr>
          <w:rFonts w:hint="eastAsia" w:ascii="宋体" w:hAnsi="宋体" w:cs="宋体"/>
          <w:color w:val="auto"/>
          <w:szCs w:val="21"/>
        </w:rPr>
        <w:t>人进行证件核实、诚信记录查验、违法违规记录查询（无须提供证明材料）。</w:t>
      </w:r>
    </w:p>
    <w:p w14:paraId="7A95A351">
      <w:pPr>
        <w:spacing w:line="540" w:lineRule="exact"/>
        <w:ind w:firstLine="420" w:firstLineChars="200"/>
        <w:rPr>
          <w:rFonts w:hint="eastAsia" w:ascii="宋体" w:hAnsi="宋体" w:cs="宋体"/>
          <w:color w:val="auto"/>
          <w:szCs w:val="21"/>
        </w:rPr>
      </w:pPr>
      <w:r>
        <w:rPr>
          <w:rFonts w:hint="eastAsia" w:ascii="宋体" w:hAnsi="宋体" w:cs="宋体"/>
          <w:color w:val="auto"/>
          <w:szCs w:val="21"/>
        </w:rPr>
        <w:t>8</w:t>
      </w:r>
      <w:r>
        <w:rPr>
          <w:rFonts w:hint="eastAsia" w:ascii="宋体" w:hAnsi="宋体" w:cs="宋体"/>
          <w:color w:val="auto"/>
          <w:szCs w:val="21"/>
          <w:lang w:val="en-US" w:eastAsia="zh-CN"/>
        </w:rPr>
        <w:t>.</w:t>
      </w:r>
      <w:r>
        <w:rPr>
          <w:rFonts w:hint="eastAsia" w:ascii="宋体" w:hAnsi="宋体" w:cs="宋体"/>
          <w:color w:val="auto"/>
          <w:szCs w:val="21"/>
        </w:rPr>
        <w:t>投标</w:t>
      </w:r>
      <w:r>
        <w:rPr>
          <w:rFonts w:hint="eastAsia" w:ascii="宋体" w:hAnsi="宋体" w:cs="宋体"/>
          <w:color w:val="auto"/>
          <w:szCs w:val="21"/>
          <w:lang w:eastAsia="zh-CN"/>
        </w:rPr>
        <w:t>人</w:t>
      </w:r>
      <w:r>
        <w:rPr>
          <w:rFonts w:hint="eastAsia" w:ascii="宋体" w:hAnsi="宋体" w:cs="宋体"/>
          <w:color w:val="auto"/>
          <w:szCs w:val="21"/>
        </w:rPr>
        <w:t>编制投标文件时，根据</w:t>
      </w:r>
      <w:r>
        <w:rPr>
          <w:rFonts w:hint="eastAsia" w:ascii="宋体" w:hAnsi="宋体" w:cs="宋体"/>
          <w:color w:val="auto"/>
          <w:szCs w:val="21"/>
          <w:lang w:eastAsia="zh-CN"/>
        </w:rPr>
        <w:t>招标</w:t>
      </w:r>
      <w:r>
        <w:rPr>
          <w:rFonts w:hint="eastAsia" w:ascii="宋体" w:hAnsi="宋体" w:cs="宋体"/>
          <w:color w:val="auto"/>
          <w:szCs w:val="21"/>
        </w:rPr>
        <w:t>人所要求配备服务人员及相关服务费用进行报价，且自拟表格编制详细的报价清单明细。</w:t>
      </w:r>
    </w:p>
    <w:p w14:paraId="7936F265">
      <w:pPr>
        <w:spacing w:line="540" w:lineRule="exact"/>
        <w:ind w:firstLine="422" w:firstLineChars="200"/>
        <w:rPr>
          <w:rFonts w:hint="eastAsia" w:ascii="宋体" w:hAnsi="宋体" w:eastAsia="宋体" w:cs="宋体"/>
          <w:b/>
          <w:bCs/>
          <w:color w:val="auto"/>
          <w:szCs w:val="21"/>
          <w:lang w:eastAsia="zh-CN"/>
        </w:rPr>
      </w:pPr>
      <w:r>
        <w:rPr>
          <w:rFonts w:hint="eastAsia" w:ascii="宋体" w:hAnsi="宋体" w:eastAsia="宋体" w:cs="宋体"/>
          <w:b/>
          <w:bCs/>
          <w:color w:val="auto"/>
          <w:szCs w:val="21"/>
          <w:lang w:val="en-US" w:eastAsia="zh-CN"/>
        </w:rPr>
        <w:t>9.</w:t>
      </w:r>
      <w:r>
        <w:rPr>
          <w:rFonts w:hint="eastAsia" w:ascii="宋体" w:hAnsi="宋体" w:eastAsia="宋体" w:cs="宋体"/>
          <w:b/>
          <w:bCs/>
          <w:color w:val="auto"/>
          <w:szCs w:val="21"/>
          <w:lang w:eastAsia="zh-CN"/>
        </w:rPr>
        <w:t>投标人</w:t>
      </w:r>
      <w:r>
        <w:rPr>
          <w:rFonts w:hint="eastAsia" w:ascii="宋体" w:hAnsi="宋体" w:eastAsia="宋体" w:cs="宋体"/>
          <w:b/>
          <w:bCs/>
          <w:color w:val="auto"/>
          <w:szCs w:val="21"/>
        </w:rPr>
        <w:t>必须按照国家有关规定为所有的项目组成员</w:t>
      </w:r>
      <w:r>
        <w:rPr>
          <w:rFonts w:hint="eastAsia" w:ascii="宋体" w:hAnsi="宋体" w:eastAsia="宋体" w:cs="宋体"/>
          <w:b/>
          <w:bCs/>
          <w:color w:val="auto"/>
          <w:szCs w:val="21"/>
          <w:lang w:eastAsia="zh-CN"/>
        </w:rPr>
        <w:t>合法</w:t>
      </w:r>
      <w:r>
        <w:rPr>
          <w:rFonts w:hint="eastAsia" w:ascii="宋体" w:hAnsi="宋体" w:eastAsia="宋体" w:cs="宋体"/>
          <w:b/>
          <w:bCs/>
          <w:color w:val="auto"/>
          <w:szCs w:val="21"/>
        </w:rPr>
        <w:t>缴纳社保</w:t>
      </w:r>
      <w:r>
        <w:rPr>
          <w:rFonts w:hint="eastAsia" w:ascii="宋体" w:hAnsi="宋体" w:eastAsia="宋体" w:cs="宋体"/>
          <w:b/>
          <w:bCs/>
          <w:color w:val="auto"/>
          <w:szCs w:val="21"/>
          <w:lang w:eastAsia="zh-CN"/>
        </w:rPr>
        <w:t>。</w:t>
      </w:r>
    </w:p>
    <w:p w14:paraId="620EF0BA">
      <w:pPr>
        <w:spacing w:line="540" w:lineRule="exact"/>
        <w:ind w:firstLine="422" w:firstLineChars="200"/>
        <w:rPr>
          <w:rFonts w:ascii="宋体" w:hAnsi="宋体" w:cs="宋体"/>
          <w:b/>
          <w:bCs/>
          <w:color w:val="auto"/>
          <w:szCs w:val="21"/>
        </w:rPr>
      </w:pPr>
      <w:r>
        <w:rPr>
          <w:rFonts w:hint="eastAsia" w:ascii="宋体" w:hAnsi="宋体" w:cs="宋体"/>
          <w:b/>
          <w:bCs/>
          <w:color w:val="auto"/>
          <w:szCs w:val="21"/>
        </w:rPr>
        <w:t>四、投标价格</w:t>
      </w:r>
    </w:p>
    <w:p w14:paraId="23A7144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投标报价采用总承包方式，投标人所报价格应包括（但不限于）服务人员的工资、社会保险费、福利费、服装费、管理费、税收、不可预见费等所需的全部费用的价格体现，凡漏项少计均视为优惠，招标人不另行增加费用。各类风险和政策性调整等风险已包括在投标报价中，最终结算时除合同约定调整外一律不予结算。</w:t>
      </w:r>
    </w:p>
    <w:p w14:paraId="7E8C5E5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投标报价采用总承包方式，投标人所报价格应包括（但不限于）服务人员的工资、社会保险费、节假日加班费、福利费、服装费、现场管理费、税收、不可预见费等所需的全部费用的价格体现，凡漏项少计均视为优惠，招标人不另行增加费用。各类风险和政策性调整等风险已包括在投标报价中，最终结算时除合同约定调整外一律不予结算。</w:t>
      </w:r>
    </w:p>
    <w:p w14:paraId="4346AEAF">
      <w:pPr>
        <w:spacing w:line="360" w:lineRule="auto"/>
        <w:ind w:firstLine="420"/>
        <w:rPr>
          <w:rFonts w:hint="eastAsia" w:ascii="宋体" w:hAnsi="宋体" w:eastAsia="宋体" w:cs="宋体"/>
          <w:b/>
          <w:bCs/>
          <w:color w:val="auto"/>
          <w:sz w:val="21"/>
          <w:szCs w:val="21"/>
          <w:lang w:val="zh-CN" w:eastAsia="zh-CN"/>
        </w:rPr>
      </w:pPr>
      <w:r>
        <w:rPr>
          <w:rFonts w:hint="eastAsia" w:ascii="宋体" w:hAnsi="宋体" w:eastAsia="宋体" w:cs="宋体"/>
          <w:b/>
          <w:bCs/>
          <w:color w:val="auto"/>
          <w:sz w:val="21"/>
          <w:szCs w:val="21"/>
        </w:rPr>
        <w:t>4.</w:t>
      </w:r>
      <w:r>
        <w:rPr>
          <w:rFonts w:hint="eastAsia" w:ascii="宋体" w:hAnsi="宋体" w:eastAsia="宋体" w:cs="宋体"/>
          <w:b/>
          <w:bCs/>
          <w:color w:val="auto"/>
          <w:sz w:val="21"/>
          <w:szCs w:val="21"/>
          <w:lang w:val="zh-CN" w:eastAsia="zh-CN"/>
        </w:rPr>
        <w:t>所有人员工资不低于2430元/人</w:t>
      </w:r>
      <w:r>
        <w:rPr>
          <w:rFonts w:hint="eastAsia" w:ascii="宋体" w:hAnsi="宋体" w:eastAsia="宋体" w:cs="宋体"/>
          <w:b/>
          <w:bCs/>
          <w:color w:val="auto"/>
          <w:sz w:val="21"/>
          <w:szCs w:val="21"/>
          <w:lang w:val="en-US" w:eastAsia="zh-CN"/>
        </w:rPr>
        <w:t>/</w:t>
      </w:r>
      <w:r>
        <w:rPr>
          <w:rFonts w:hint="eastAsia" w:ascii="宋体" w:hAnsi="宋体" w:eastAsia="宋体" w:cs="宋体"/>
          <w:b/>
          <w:bCs/>
          <w:color w:val="auto"/>
          <w:sz w:val="21"/>
          <w:szCs w:val="21"/>
          <w:lang w:val="zh-CN" w:eastAsia="zh-CN"/>
        </w:rPr>
        <w:t>月，所有人员必须足额缴纳社保费用，社保（企业部分）不得低于1292.47元/人/月，住房公积金不得低于</w:t>
      </w:r>
      <w:r>
        <w:rPr>
          <w:rFonts w:hint="eastAsia" w:ascii="宋体" w:hAnsi="宋体" w:eastAsia="宋体" w:cs="宋体"/>
          <w:b/>
          <w:bCs/>
          <w:color w:val="auto"/>
          <w:sz w:val="21"/>
          <w:szCs w:val="21"/>
          <w:highlight w:val="none"/>
          <w:lang w:val="en-US" w:eastAsia="zh-CN"/>
        </w:rPr>
        <w:t>122元</w:t>
      </w:r>
      <w:r>
        <w:rPr>
          <w:rFonts w:hint="eastAsia" w:ascii="宋体" w:hAnsi="宋体" w:eastAsia="宋体" w:cs="宋体"/>
          <w:b/>
          <w:bCs/>
          <w:color w:val="auto"/>
          <w:sz w:val="21"/>
          <w:szCs w:val="21"/>
          <w:highlight w:val="none"/>
          <w:lang w:val="zh-CN" w:eastAsia="zh-CN"/>
        </w:rPr>
        <w:t>/人/月，</w:t>
      </w:r>
      <w:r>
        <w:rPr>
          <w:rFonts w:hint="eastAsia" w:ascii="宋体" w:hAnsi="宋体" w:eastAsia="宋体" w:cs="宋体"/>
          <w:b/>
          <w:bCs/>
          <w:color w:val="auto"/>
          <w:sz w:val="21"/>
          <w:szCs w:val="21"/>
          <w:lang w:val="zh-CN" w:eastAsia="zh-CN"/>
        </w:rPr>
        <w:t>法定节假日加班天数按13天计算，加班费不得低于4357.25元/人/年，税金费率统一按6.72%进行报价。</w:t>
      </w:r>
    </w:p>
    <w:p w14:paraId="40EE5211">
      <w:pPr>
        <w:spacing w:line="360" w:lineRule="auto"/>
        <w:ind w:firstLine="422" w:firstLineChars="200"/>
        <w:rPr>
          <w:rFonts w:ascii="宋体" w:hAnsi="宋体" w:cs="宋体"/>
          <w:color w:val="auto"/>
          <w:szCs w:val="21"/>
        </w:rPr>
      </w:pPr>
      <w:r>
        <w:rPr>
          <w:rFonts w:hint="eastAsia" w:ascii="宋体" w:hAnsi="宋体" w:eastAsia="宋体" w:cs="宋体"/>
          <w:b/>
          <w:bCs/>
          <w:color w:val="auto"/>
          <w:sz w:val="21"/>
          <w:szCs w:val="21"/>
          <w:lang w:val="zh-CN" w:eastAsia="zh-CN"/>
        </w:rPr>
        <w:t>投标人所提供人员的费用</w:t>
      </w:r>
      <w:r>
        <w:rPr>
          <w:rFonts w:hint="eastAsia" w:ascii="宋体" w:hAnsi="宋体" w:eastAsia="宋体" w:cs="宋体"/>
          <w:b/>
          <w:bCs/>
          <w:color w:val="auto"/>
          <w:sz w:val="21"/>
          <w:szCs w:val="21"/>
          <w:lang w:eastAsia="zh-CN"/>
        </w:rPr>
        <w:t>按</w:t>
      </w:r>
      <w:r>
        <w:rPr>
          <w:rFonts w:hint="eastAsia" w:ascii="宋体" w:hAnsi="宋体" w:eastAsia="宋体" w:cs="宋体"/>
          <w:b/>
          <w:bCs/>
          <w:color w:val="auto"/>
          <w:sz w:val="21"/>
          <w:szCs w:val="21"/>
          <w:lang w:val="zh-CN" w:eastAsia="zh-CN"/>
        </w:rPr>
        <w:t>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p>
    <w:p w14:paraId="4F107D2C">
      <w:pPr>
        <w:spacing w:line="540" w:lineRule="exact"/>
        <w:ind w:firstLine="420" w:firstLineChars="200"/>
        <w:rPr>
          <w:rFonts w:ascii="宋体" w:hAnsi="宋体" w:cs="宋体"/>
          <w:color w:val="auto"/>
          <w:szCs w:val="21"/>
        </w:rPr>
      </w:pPr>
      <w:r>
        <w:rPr>
          <w:rFonts w:hint="eastAsia" w:ascii="宋体" w:hAnsi="宋体" w:cs="宋体"/>
          <w:color w:val="auto"/>
          <w:szCs w:val="21"/>
        </w:rPr>
        <w:t>投标</w:t>
      </w:r>
      <w:r>
        <w:rPr>
          <w:rFonts w:hint="eastAsia" w:ascii="宋体" w:hAnsi="宋体" w:cs="宋体"/>
          <w:color w:val="auto"/>
          <w:szCs w:val="21"/>
          <w:lang w:eastAsia="zh-CN"/>
        </w:rPr>
        <w:t>人</w:t>
      </w:r>
      <w:r>
        <w:rPr>
          <w:rFonts w:hint="eastAsia" w:ascii="宋体" w:hAnsi="宋体" w:cs="宋体"/>
          <w:color w:val="auto"/>
          <w:szCs w:val="21"/>
        </w:rPr>
        <w:t>的报价明显低于其他投标</w:t>
      </w:r>
      <w:r>
        <w:rPr>
          <w:rFonts w:hint="eastAsia" w:ascii="宋体" w:hAnsi="宋体" w:cs="宋体"/>
          <w:color w:val="auto"/>
          <w:szCs w:val="21"/>
          <w:lang w:eastAsia="zh-CN"/>
        </w:rPr>
        <w:t>人</w:t>
      </w:r>
      <w:r>
        <w:rPr>
          <w:rFonts w:hint="eastAsia" w:ascii="宋体" w:hAnsi="宋体" w:cs="宋体"/>
          <w:color w:val="auto"/>
          <w:szCs w:val="21"/>
        </w:rPr>
        <w:t>报价或低于成本价，有可能影响服务质量或者不能诚信履约的，评标委员会有权要求投标</w:t>
      </w:r>
      <w:r>
        <w:rPr>
          <w:rFonts w:hint="eastAsia" w:ascii="宋体" w:hAnsi="宋体" w:cs="宋体"/>
          <w:color w:val="auto"/>
          <w:szCs w:val="21"/>
          <w:lang w:eastAsia="zh-CN"/>
        </w:rPr>
        <w:t>人</w:t>
      </w:r>
      <w:r>
        <w:rPr>
          <w:rFonts w:hint="eastAsia" w:ascii="宋体" w:hAnsi="宋体" w:cs="宋体"/>
          <w:color w:val="auto"/>
          <w:szCs w:val="21"/>
        </w:rPr>
        <w:t>提供书面说明或相关证明材料；投标</w:t>
      </w:r>
      <w:r>
        <w:rPr>
          <w:rFonts w:hint="eastAsia" w:ascii="宋体" w:hAnsi="宋体" w:cs="宋体"/>
          <w:color w:val="auto"/>
          <w:szCs w:val="21"/>
          <w:lang w:eastAsia="zh-CN"/>
        </w:rPr>
        <w:t>人</w:t>
      </w:r>
      <w:r>
        <w:rPr>
          <w:rFonts w:hint="eastAsia" w:ascii="宋体" w:hAnsi="宋体" w:cs="宋体"/>
          <w:color w:val="auto"/>
          <w:szCs w:val="21"/>
        </w:rPr>
        <w:t>不能证明其报价合理性的，将被判定为无效投标。</w:t>
      </w:r>
    </w:p>
    <w:p w14:paraId="7299A9CD">
      <w:pPr>
        <w:spacing w:line="540" w:lineRule="exact"/>
        <w:ind w:firstLine="420" w:firstLineChars="200"/>
        <w:rPr>
          <w:rFonts w:ascii="宋体" w:hAnsi="宋体" w:cs="宋体"/>
          <w:color w:val="auto"/>
          <w:szCs w:val="21"/>
        </w:rPr>
      </w:pPr>
      <w:r>
        <w:rPr>
          <w:rFonts w:hint="eastAsia" w:ascii="宋体" w:hAnsi="宋体" w:cs="宋体"/>
          <w:color w:val="auto"/>
          <w:szCs w:val="21"/>
        </w:rPr>
        <w:t>本项目涉及的餐饮用料由</w:t>
      </w:r>
      <w:r>
        <w:rPr>
          <w:rFonts w:hint="eastAsia" w:ascii="宋体" w:hAnsi="宋体" w:cs="宋体"/>
          <w:color w:val="auto"/>
          <w:szCs w:val="21"/>
          <w:lang w:eastAsia="zh-CN"/>
        </w:rPr>
        <w:t>招标</w:t>
      </w:r>
      <w:r>
        <w:rPr>
          <w:rFonts w:hint="eastAsia" w:ascii="宋体" w:hAnsi="宋体" w:cs="宋体"/>
          <w:color w:val="auto"/>
          <w:szCs w:val="21"/>
        </w:rPr>
        <w:t>人提供，用于服务的劳保用品、清洁用品、用具、耗材及共用部位的卫生用品、用具由</w:t>
      </w:r>
      <w:r>
        <w:rPr>
          <w:rFonts w:hint="eastAsia" w:ascii="宋体" w:hAnsi="宋体" w:cs="宋体"/>
          <w:color w:val="auto"/>
          <w:szCs w:val="21"/>
          <w:lang w:eastAsia="zh-CN"/>
        </w:rPr>
        <w:t>招标</w:t>
      </w:r>
      <w:r>
        <w:rPr>
          <w:rFonts w:hint="eastAsia" w:ascii="宋体" w:hAnsi="宋体" w:cs="宋体"/>
          <w:color w:val="auto"/>
          <w:szCs w:val="21"/>
        </w:rPr>
        <w:t>人购置并承担费用。</w:t>
      </w:r>
    </w:p>
    <w:p w14:paraId="1383047B">
      <w:pPr>
        <w:spacing w:line="540" w:lineRule="exact"/>
        <w:ind w:firstLine="422" w:firstLineChars="200"/>
        <w:rPr>
          <w:rFonts w:ascii="宋体" w:hAnsi="宋体" w:cs="宋体"/>
          <w:b/>
          <w:bCs/>
          <w:color w:val="auto"/>
          <w:szCs w:val="21"/>
        </w:rPr>
      </w:pPr>
      <w:r>
        <w:rPr>
          <w:rFonts w:hint="eastAsia" w:ascii="宋体" w:hAnsi="宋体" w:cs="宋体"/>
          <w:b/>
          <w:bCs/>
          <w:color w:val="auto"/>
          <w:szCs w:val="21"/>
        </w:rPr>
        <w:t>五、服务期限</w:t>
      </w:r>
    </w:p>
    <w:p w14:paraId="7B1AD8C5">
      <w:pPr>
        <w:spacing w:line="540" w:lineRule="exact"/>
        <w:ind w:firstLine="420" w:firstLineChars="200"/>
        <w:rPr>
          <w:rFonts w:hint="eastAsia" w:ascii="宋体" w:hAnsi="宋体" w:cs="宋体"/>
          <w:color w:val="auto"/>
          <w:szCs w:val="21"/>
        </w:rPr>
      </w:pPr>
      <w:r>
        <w:rPr>
          <w:rFonts w:hint="eastAsia" w:ascii="宋体" w:hAnsi="宋体" w:cs="宋体"/>
          <w:color w:val="auto"/>
          <w:szCs w:val="21"/>
          <w:lang w:eastAsia="zh-CN"/>
        </w:rPr>
        <w:t>壹</w:t>
      </w:r>
      <w:r>
        <w:rPr>
          <w:rFonts w:hint="eastAsia" w:ascii="宋体" w:hAnsi="宋体" w:cs="宋体"/>
          <w:color w:val="auto"/>
          <w:szCs w:val="21"/>
        </w:rPr>
        <w:t>年（</w:t>
      </w:r>
      <w:r>
        <w:rPr>
          <w:rFonts w:hint="eastAsia" w:ascii="宋体" w:hAnsi="宋体"/>
          <w:bCs/>
          <w:color w:val="auto"/>
          <w:szCs w:val="21"/>
        </w:rPr>
        <w:t>服务期满后，如满意率达80</w:t>
      </w:r>
      <w:r>
        <w:rPr>
          <w:rFonts w:ascii="宋体" w:hAnsi="宋体"/>
          <w:bCs/>
          <w:color w:val="auto"/>
          <w:szCs w:val="21"/>
        </w:rPr>
        <w:t>%</w:t>
      </w:r>
      <w:r>
        <w:rPr>
          <w:rFonts w:hint="eastAsia" w:ascii="宋体" w:hAnsi="宋体"/>
          <w:bCs/>
          <w:color w:val="auto"/>
          <w:szCs w:val="21"/>
        </w:rPr>
        <w:t>以上，可续签</w:t>
      </w:r>
      <w:r>
        <w:rPr>
          <w:rFonts w:hint="eastAsia" w:ascii="宋体" w:hAnsi="宋体"/>
          <w:bCs/>
          <w:color w:val="auto"/>
          <w:szCs w:val="21"/>
          <w:lang w:val="en-US" w:eastAsia="zh-CN"/>
        </w:rPr>
        <w:t>一个服务期</w:t>
      </w:r>
      <w:r>
        <w:rPr>
          <w:rFonts w:hint="eastAsia" w:ascii="宋体" w:hAnsi="宋体"/>
          <w:bCs/>
          <w:color w:val="auto"/>
          <w:szCs w:val="21"/>
        </w:rPr>
        <w:t>，最多续签二</w:t>
      </w:r>
      <w:r>
        <w:rPr>
          <w:rFonts w:hint="eastAsia" w:ascii="宋体" w:hAnsi="宋体"/>
          <w:bCs/>
          <w:color w:val="auto"/>
          <w:szCs w:val="21"/>
          <w:lang w:val="en-US" w:eastAsia="zh-CN"/>
        </w:rPr>
        <w:t>次</w:t>
      </w:r>
      <w:r>
        <w:rPr>
          <w:rFonts w:hint="eastAsia" w:ascii="宋体" w:hAnsi="宋体" w:cs="宋体"/>
          <w:color w:val="auto"/>
          <w:szCs w:val="21"/>
        </w:rPr>
        <w:t>）</w:t>
      </w:r>
      <w:r>
        <w:rPr>
          <w:rFonts w:hint="eastAsia" w:ascii="宋体" w:hAnsi="宋体"/>
          <w:bCs/>
          <w:color w:val="auto"/>
          <w:szCs w:val="21"/>
        </w:rPr>
        <w:t>。</w:t>
      </w:r>
      <w:r>
        <w:rPr>
          <w:rFonts w:hint="eastAsia" w:ascii="宋体" w:hAnsi="宋体" w:cs="宋体"/>
          <w:color w:val="auto"/>
          <w:szCs w:val="21"/>
        </w:rPr>
        <w:t>其中：前三个月为试用期，试用期满经</w:t>
      </w:r>
      <w:r>
        <w:rPr>
          <w:rFonts w:hint="eastAsia" w:ascii="宋体" w:hAnsi="宋体" w:cs="宋体"/>
          <w:color w:val="auto"/>
          <w:szCs w:val="21"/>
          <w:lang w:eastAsia="zh-CN"/>
        </w:rPr>
        <w:t>招标</w:t>
      </w:r>
      <w:r>
        <w:rPr>
          <w:rFonts w:hint="eastAsia" w:ascii="宋体" w:hAnsi="宋体" w:cs="宋体"/>
          <w:color w:val="auto"/>
          <w:szCs w:val="21"/>
        </w:rPr>
        <w:t>人考核合格后，合同方为有效。如考核不合格，</w:t>
      </w:r>
      <w:r>
        <w:rPr>
          <w:rFonts w:hint="eastAsia" w:ascii="宋体" w:hAnsi="宋体" w:cs="宋体"/>
          <w:color w:val="auto"/>
          <w:szCs w:val="21"/>
          <w:lang w:eastAsia="zh-CN"/>
        </w:rPr>
        <w:t>招标</w:t>
      </w:r>
      <w:r>
        <w:rPr>
          <w:rFonts w:hint="eastAsia" w:ascii="宋体" w:hAnsi="宋体" w:cs="宋体"/>
          <w:color w:val="auto"/>
          <w:szCs w:val="21"/>
        </w:rPr>
        <w:t>人将终止服务合同，但投标</w:t>
      </w:r>
      <w:r>
        <w:rPr>
          <w:rFonts w:hint="eastAsia" w:ascii="宋体" w:hAnsi="宋体" w:eastAsia="宋体" w:cs="宋体"/>
          <w:color w:val="auto"/>
          <w:szCs w:val="21"/>
          <w:lang w:eastAsia="zh-CN"/>
        </w:rPr>
        <w:t>人</w:t>
      </w:r>
      <w:r>
        <w:rPr>
          <w:rFonts w:hint="eastAsia" w:ascii="宋体" w:hAnsi="宋体" w:cs="宋体"/>
          <w:color w:val="auto"/>
          <w:szCs w:val="21"/>
        </w:rPr>
        <w:t>须保证为</w:t>
      </w:r>
      <w:r>
        <w:rPr>
          <w:rFonts w:hint="eastAsia" w:ascii="宋体" w:hAnsi="宋体" w:cs="宋体"/>
          <w:color w:val="auto"/>
          <w:szCs w:val="21"/>
          <w:lang w:eastAsia="zh-CN"/>
        </w:rPr>
        <w:t>招标</w:t>
      </w:r>
      <w:r>
        <w:rPr>
          <w:rFonts w:hint="eastAsia" w:ascii="宋体" w:hAnsi="宋体" w:cs="宋体"/>
          <w:color w:val="auto"/>
          <w:szCs w:val="21"/>
        </w:rPr>
        <w:t>人正常提供各项服务，直至下一投标</w:t>
      </w:r>
      <w:r>
        <w:rPr>
          <w:rFonts w:hint="eastAsia" w:ascii="宋体" w:hAnsi="宋体" w:cs="宋体"/>
          <w:color w:val="auto"/>
          <w:szCs w:val="21"/>
          <w:lang w:eastAsia="zh-CN"/>
        </w:rPr>
        <w:t>供应商</w:t>
      </w:r>
      <w:r>
        <w:rPr>
          <w:rFonts w:hint="eastAsia" w:ascii="宋体" w:hAnsi="宋体" w:cs="宋体"/>
          <w:color w:val="auto"/>
          <w:szCs w:val="21"/>
        </w:rPr>
        <w:t>到位，期间所产生的费用按试管期合同支付。</w:t>
      </w:r>
    </w:p>
    <w:p w14:paraId="5FD7CB8E">
      <w:pPr>
        <w:spacing w:line="540" w:lineRule="exact"/>
        <w:ind w:firstLine="422" w:firstLineChars="200"/>
        <w:rPr>
          <w:rFonts w:hint="eastAsia" w:ascii="宋体" w:hAnsi="宋体" w:eastAsia="宋体" w:cs="宋体"/>
          <w:b/>
          <w:color w:val="auto"/>
          <w:sz w:val="21"/>
          <w:szCs w:val="21"/>
          <w:highlight w:val="none"/>
        </w:rPr>
      </w:pPr>
      <w:r>
        <w:rPr>
          <w:rFonts w:hint="eastAsia" w:ascii="宋体" w:hAnsi="宋体" w:cs="宋体"/>
          <w:b/>
          <w:bCs/>
          <w:color w:val="auto"/>
          <w:szCs w:val="21"/>
          <w:lang w:eastAsia="zh-CN"/>
        </w:rPr>
        <w:t>六、</w:t>
      </w:r>
      <w:r>
        <w:rPr>
          <w:rFonts w:hint="eastAsia" w:ascii="宋体" w:hAnsi="宋体" w:eastAsia="宋体" w:cs="宋体"/>
          <w:b/>
          <w:color w:val="auto"/>
          <w:sz w:val="21"/>
          <w:szCs w:val="21"/>
          <w:highlight w:val="none"/>
          <w:lang w:val="en-US" w:eastAsia="zh-CN"/>
        </w:rPr>
        <w:t>技术方案</w:t>
      </w:r>
    </w:p>
    <w:p w14:paraId="0B5E8E26">
      <w:pPr>
        <w:spacing w:line="540" w:lineRule="exact"/>
        <w:ind w:firstLine="420" w:firstLineChars="200"/>
        <w:rPr>
          <w:rFonts w:hint="eastAsia" w:ascii="宋体" w:hAnsi="宋体" w:cs="宋体" w:eastAsiaTheme="minorEastAsia"/>
          <w:color w:val="auto"/>
          <w:kern w:val="2"/>
          <w:sz w:val="21"/>
          <w:szCs w:val="21"/>
          <w:lang w:val="en-US" w:eastAsia="zh-CN" w:bidi="ar-SA"/>
        </w:rPr>
      </w:pPr>
      <w:r>
        <w:rPr>
          <w:rFonts w:hint="eastAsia" w:ascii="宋体" w:hAnsi="宋体" w:cs="宋体" w:eastAsiaTheme="minorEastAsia"/>
          <w:color w:val="auto"/>
          <w:kern w:val="2"/>
          <w:sz w:val="21"/>
          <w:szCs w:val="21"/>
          <w:lang w:val="en-US" w:eastAsia="zh-CN" w:bidi="ar-SA"/>
        </w:rPr>
        <w:t>投标人应根据采购需求和本项目实际，制订相应的服务方案至少包含以下内容：</w:t>
      </w:r>
    </w:p>
    <w:p w14:paraId="67377F6F">
      <w:pPr>
        <w:widowControl/>
        <w:numPr>
          <w:ilvl w:val="0"/>
          <w:numId w:val="0"/>
        </w:numPr>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1.</w:t>
      </w:r>
      <w:r>
        <w:rPr>
          <w:rFonts w:hint="eastAsia" w:ascii="宋体" w:hAnsi="宋体" w:eastAsia="宋体" w:cs="宋体"/>
          <w:b/>
          <w:color w:val="auto"/>
          <w:sz w:val="21"/>
          <w:szCs w:val="21"/>
          <w:highlight w:val="none"/>
        </w:rPr>
        <w:t>餐饮管理组织实施方案</w:t>
      </w:r>
    </w:p>
    <w:p w14:paraId="37E3570E">
      <w:pPr>
        <w:widowControl/>
        <w:numPr>
          <w:ilvl w:val="0"/>
          <w:numId w:val="0"/>
        </w:num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投标人应根据采购需求和本项目实际，制定本项目餐饮管理组织实施方案，</w:t>
      </w:r>
      <w:r>
        <w:rPr>
          <w:rFonts w:hint="eastAsia" w:ascii="宋体" w:hAnsi="宋体" w:eastAsia="宋体" w:cs="宋体"/>
          <w:color w:val="auto"/>
          <w:sz w:val="21"/>
          <w:szCs w:val="21"/>
          <w:highlight w:val="none"/>
          <w:lang w:eastAsia="zh-CN"/>
        </w:rPr>
        <w:t>至少包含</w:t>
      </w:r>
      <w:r>
        <w:rPr>
          <w:rFonts w:hint="eastAsia" w:ascii="宋体" w:hAnsi="宋体" w:eastAsia="宋体" w:cs="宋体"/>
          <w:color w:val="auto"/>
          <w:sz w:val="21"/>
          <w:szCs w:val="21"/>
          <w:highlight w:val="none"/>
        </w:rPr>
        <w:t>以下几方面，要求方案细致完整、针对性强、措施有力。</w:t>
      </w:r>
    </w:p>
    <w:p w14:paraId="28F96341">
      <w:pPr>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（1）人员配置。</w:t>
      </w:r>
      <w:r>
        <w:rPr>
          <w:rFonts w:hint="eastAsia" w:ascii="宋体" w:hAnsi="宋体" w:eastAsia="宋体" w:cs="宋体"/>
          <w:color w:val="auto"/>
          <w:sz w:val="21"/>
          <w:szCs w:val="21"/>
          <w:highlight w:val="none"/>
        </w:rPr>
        <w:t>主要包含人员职责分工、岗位配置优化，提升服务水平、效率、能力等内容。</w:t>
      </w:r>
    </w:p>
    <w:p w14:paraId="003324C9">
      <w:pPr>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（2）管理标准。</w:t>
      </w:r>
      <w:r>
        <w:rPr>
          <w:rFonts w:hint="eastAsia" w:ascii="宋体" w:hAnsi="宋体" w:eastAsia="宋体" w:cs="宋体"/>
          <w:color w:val="auto"/>
          <w:sz w:val="21"/>
          <w:szCs w:val="21"/>
          <w:highlight w:val="none"/>
        </w:rPr>
        <w:t>主要包含项目实施过程中，管理达到的目标、措施、组织架构等内容。</w:t>
      </w:r>
    </w:p>
    <w:p w14:paraId="1FD249BF">
      <w:pPr>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（3）培训方案。</w:t>
      </w:r>
      <w:r>
        <w:rPr>
          <w:rFonts w:hint="eastAsia" w:ascii="宋体" w:hAnsi="宋体" w:eastAsia="宋体" w:cs="宋体"/>
          <w:color w:val="auto"/>
          <w:sz w:val="21"/>
          <w:szCs w:val="21"/>
          <w:highlight w:val="none"/>
        </w:rPr>
        <w:t>主要包含围绕入职、消防培训、保密培训、食品安全培训等岗位培训的频次、内容、时长、目标等。</w:t>
      </w:r>
    </w:p>
    <w:p w14:paraId="0810B3C8">
      <w:pPr>
        <w:widowControl/>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2.项目管理制度、工作流程标准</w:t>
      </w:r>
    </w:p>
    <w:p w14:paraId="2C6E381F">
      <w:pPr>
        <w:widowControl/>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投标人应根据采购需求和本项目实际，制定本项目管理制度、工作流程标准方案，方案</w:t>
      </w:r>
      <w:r>
        <w:rPr>
          <w:rFonts w:hint="eastAsia" w:ascii="宋体" w:hAnsi="宋体" w:eastAsia="宋体" w:cs="宋体"/>
          <w:color w:val="auto"/>
          <w:sz w:val="21"/>
          <w:szCs w:val="21"/>
          <w:highlight w:val="none"/>
          <w:lang w:eastAsia="zh-CN"/>
        </w:rPr>
        <w:t>至少包含</w:t>
      </w:r>
      <w:r>
        <w:rPr>
          <w:rFonts w:hint="eastAsia" w:ascii="宋体" w:hAnsi="宋体" w:eastAsia="宋体" w:cs="宋体"/>
          <w:color w:val="auto"/>
          <w:sz w:val="21"/>
          <w:szCs w:val="21"/>
          <w:highlight w:val="none"/>
        </w:rPr>
        <w:t>以下几方面，要求方案细致完整、针对性强、措施有力。</w:t>
      </w:r>
    </w:p>
    <w:p w14:paraId="699931D1">
      <w:pPr>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（1）卫生制度。</w:t>
      </w:r>
      <w:r>
        <w:rPr>
          <w:rFonts w:hint="eastAsia" w:ascii="宋体" w:hAnsi="宋体" w:eastAsia="宋体" w:cs="宋体"/>
          <w:color w:val="auto"/>
          <w:sz w:val="21"/>
          <w:szCs w:val="21"/>
          <w:highlight w:val="none"/>
        </w:rPr>
        <w:t>主要包含食堂加工、就餐等各个卫生保洁区域的人员分工、卫生保洁的具体标准、卫生保洁的时间、频次以及所有人员个人工作期间消毒等内容。</w:t>
      </w:r>
    </w:p>
    <w:p w14:paraId="34B3509B">
      <w:pPr>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（2）留样制度。</w:t>
      </w:r>
      <w:r>
        <w:rPr>
          <w:rFonts w:hint="eastAsia" w:ascii="宋体" w:hAnsi="宋体" w:eastAsia="宋体" w:cs="宋体"/>
          <w:color w:val="auto"/>
          <w:sz w:val="21"/>
          <w:szCs w:val="21"/>
          <w:highlight w:val="none"/>
        </w:rPr>
        <w:t>主要包含原材料验收后、出餐前留样的品种、留样的时长等内容。</w:t>
      </w:r>
    </w:p>
    <w:p w14:paraId="38FD4927">
      <w:pPr>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（3）考核制度。</w:t>
      </w:r>
      <w:r>
        <w:rPr>
          <w:rFonts w:hint="eastAsia" w:ascii="宋体" w:hAnsi="宋体" w:eastAsia="宋体" w:cs="宋体"/>
          <w:color w:val="auto"/>
          <w:sz w:val="21"/>
          <w:szCs w:val="21"/>
          <w:highlight w:val="none"/>
        </w:rPr>
        <w:t>主要包含员工健康证的检查、考勤、着装、岗位履职的量化考核等内容。</w:t>
      </w:r>
    </w:p>
    <w:p w14:paraId="2416B6AF">
      <w:pPr>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（4）食材加工制作流程。</w:t>
      </w:r>
      <w:r>
        <w:rPr>
          <w:rFonts w:hint="eastAsia" w:ascii="宋体" w:hAnsi="宋体" w:eastAsia="宋体" w:cs="宋体"/>
          <w:color w:val="auto"/>
          <w:sz w:val="21"/>
          <w:szCs w:val="21"/>
          <w:highlight w:val="none"/>
        </w:rPr>
        <w:t>主要包含原材料验收后，清洗、加工、储存等流程。</w:t>
      </w:r>
    </w:p>
    <w:p w14:paraId="6836663B">
      <w:pPr>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（5）出餐收餐流程。</w:t>
      </w:r>
      <w:r>
        <w:rPr>
          <w:rFonts w:hint="eastAsia" w:ascii="宋体" w:hAnsi="宋体" w:eastAsia="宋体" w:cs="宋体"/>
          <w:color w:val="auto"/>
          <w:sz w:val="21"/>
          <w:szCs w:val="21"/>
          <w:highlight w:val="none"/>
        </w:rPr>
        <w:t>主要包含加工区与就餐区人员协作、出餐分工与时间、补餐频次、收餐分工与时间等内容</w:t>
      </w:r>
    </w:p>
    <w:p w14:paraId="00F2EB51">
      <w:pPr>
        <w:widowControl/>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3.原材料安全管理方案</w:t>
      </w:r>
    </w:p>
    <w:p w14:paraId="77BF7DE2">
      <w:pPr>
        <w:widowControl/>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投标人应根据采购需求和本项目实际，制定本项目原材料安全管理方案，方案</w:t>
      </w:r>
      <w:r>
        <w:rPr>
          <w:rFonts w:hint="eastAsia" w:ascii="宋体" w:hAnsi="宋体" w:eastAsia="宋体" w:cs="宋体"/>
          <w:color w:val="auto"/>
          <w:sz w:val="21"/>
          <w:szCs w:val="21"/>
          <w:highlight w:val="none"/>
          <w:lang w:eastAsia="zh-CN"/>
        </w:rPr>
        <w:t>至少包含</w:t>
      </w:r>
      <w:r>
        <w:rPr>
          <w:rFonts w:hint="eastAsia" w:ascii="宋体" w:hAnsi="宋体" w:eastAsia="宋体" w:cs="宋体"/>
          <w:color w:val="auto"/>
          <w:sz w:val="21"/>
          <w:szCs w:val="21"/>
          <w:highlight w:val="none"/>
        </w:rPr>
        <w:t>几方面，要求方案细致完整、针对性强、措施有力。</w:t>
      </w:r>
    </w:p>
    <w:p w14:paraId="1E880F43">
      <w:pPr>
        <w:widowControl/>
        <w:numPr>
          <w:ilvl w:val="0"/>
          <w:numId w:val="0"/>
        </w:numPr>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（1）原材料管理方法。</w:t>
      </w:r>
      <w:r>
        <w:rPr>
          <w:rFonts w:hint="eastAsia" w:ascii="宋体" w:hAnsi="宋体" w:eastAsia="宋体" w:cs="宋体"/>
          <w:color w:val="auto"/>
          <w:sz w:val="21"/>
          <w:szCs w:val="21"/>
          <w:highlight w:val="none"/>
        </w:rPr>
        <w:t>主要包含肉类、蔬菜类、干货、水产品、米面油等不同原材料的分类、存放、标识、巡检等内容。</w:t>
      </w:r>
    </w:p>
    <w:p w14:paraId="171C1E22">
      <w:pPr>
        <w:widowControl/>
        <w:numPr>
          <w:ilvl w:val="0"/>
          <w:numId w:val="0"/>
        </w:numPr>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（2）检货标准。</w:t>
      </w:r>
      <w:r>
        <w:rPr>
          <w:rFonts w:hint="eastAsia" w:ascii="宋体" w:hAnsi="宋体" w:eastAsia="宋体" w:cs="宋体"/>
          <w:color w:val="auto"/>
          <w:sz w:val="21"/>
          <w:szCs w:val="21"/>
          <w:highlight w:val="none"/>
        </w:rPr>
        <w:t>主要包含原材料每日验收时间、不同原材料的验货方法、不合格原材料的处置等。</w:t>
      </w:r>
    </w:p>
    <w:p w14:paraId="47D92628">
      <w:pPr>
        <w:widowControl/>
        <w:numPr>
          <w:ilvl w:val="0"/>
          <w:numId w:val="0"/>
        </w:numPr>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（3）库房管理。</w:t>
      </w:r>
      <w:r>
        <w:rPr>
          <w:rFonts w:hint="eastAsia" w:ascii="宋体" w:hAnsi="宋体" w:eastAsia="宋体" w:cs="宋体"/>
          <w:color w:val="auto"/>
          <w:sz w:val="21"/>
          <w:szCs w:val="21"/>
          <w:highlight w:val="none"/>
        </w:rPr>
        <w:t>主要包含库房进出的登记、检查、防虫防霉等内容。</w:t>
      </w:r>
    </w:p>
    <w:p w14:paraId="4D0B6C66">
      <w:pPr>
        <w:widowControl/>
        <w:numPr>
          <w:ilvl w:val="0"/>
          <w:numId w:val="0"/>
        </w:numPr>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4.应急保障方案</w:t>
      </w:r>
    </w:p>
    <w:p w14:paraId="0041AB82">
      <w:pPr>
        <w:widowControl/>
        <w:numPr>
          <w:ilvl w:val="0"/>
          <w:numId w:val="0"/>
        </w:num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投标人应根据采购需求和本项目实际，制定本项目应急保障方案，方案</w:t>
      </w:r>
      <w:r>
        <w:rPr>
          <w:rFonts w:hint="eastAsia" w:ascii="宋体" w:hAnsi="宋体" w:eastAsia="宋体" w:cs="宋体"/>
          <w:color w:val="auto"/>
          <w:sz w:val="21"/>
          <w:szCs w:val="21"/>
          <w:highlight w:val="none"/>
          <w:lang w:eastAsia="zh-CN"/>
        </w:rPr>
        <w:t>至少包含</w:t>
      </w:r>
      <w:r>
        <w:rPr>
          <w:rFonts w:hint="eastAsia" w:ascii="宋体" w:hAnsi="宋体" w:eastAsia="宋体" w:cs="宋体"/>
          <w:color w:val="auto"/>
          <w:sz w:val="21"/>
          <w:szCs w:val="21"/>
          <w:highlight w:val="none"/>
        </w:rPr>
        <w:t>以下几方面，要求方案细致完整、针对性强、措施有力。</w:t>
      </w:r>
    </w:p>
    <w:p w14:paraId="125989A7">
      <w:pPr>
        <w:widowControl/>
        <w:numPr>
          <w:ilvl w:val="0"/>
          <w:numId w:val="0"/>
        </w:numPr>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（1）餐厅停水、停电。</w:t>
      </w:r>
      <w:r>
        <w:rPr>
          <w:rFonts w:hint="eastAsia" w:ascii="宋体" w:hAnsi="宋体" w:eastAsia="宋体" w:cs="宋体"/>
          <w:color w:val="auto"/>
          <w:sz w:val="21"/>
          <w:szCs w:val="21"/>
          <w:highlight w:val="none"/>
        </w:rPr>
        <w:t>主要包括停水、电后，人员的分工、出餐的及时性等内容。</w:t>
      </w:r>
    </w:p>
    <w:p w14:paraId="0DB213DF">
      <w:pPr>
        <w:widowControl/>
        <w:numPr>
          <w:ilvl w:val="0"/>
          <w:numId w:val="0"/>
        </w:numPr>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（2）消防安全。</w:t>
      </w:r>
      <w:r>
        <w:rPr>
          <w:rFonts w:hint="eastAsia" w:ascii="宋体" w:hAnsi="宋体" w:eastAsia="宋体" w:cs="宋体"/>
          <w:color w:val="auto"/>
          <w:sz w:val="21"/>
          <w:szCs w:val="21"/>
          <w:highlight w:val="none"/>
        </w:rPr>
        <w:t>主要包含防火自救演练计划、安全责任制和安全管理体系、防火处置等内容。</w:t>
      </w:r>
    </w:p>
    <w:p w14:paraId="24061E9C">
      <w:pPr>
        <w:widowControl/>
        <w:numPr>
          <w:ilvl w:val="0"/>
          <w:numId w:val="0"/>
        </w:numPr>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（3）食物中毒及生产安全。</w:t>
      </w:r>
      <w:r>
        <w:rPr>
          <w:rFonts w:hint="eastAsia" w:ascii="宋体" w:hAnsi="宋体" w:eastAsia="宋体" w:cs="宋体"/>
          <w:color w:val="auto"/>
          <w:sz w:val="21"/>
          <w:szCs w:val="21"/>
          <w:highlight w:val="none"/>
        </w:rPr>
        <w:t>主要围绕突发疫情、食物中毒、食材中断、异物控制及出现不合格食品后如何处置。</w:t>
      </w:r>
    </w:p>
    <w:p w14:paraId="01523287">
      <w:pPr>
        <w:widowControl/>
        <w:numPr>
          <w:ilvl w:val="0"/>
          <w:numId w:val="0"/>
        </w:numPr>
        <w:spacing w:line="360" w:lineRule="auto"/>
        <w:ind w:firstLine="422" w:firstLineChars="200"/>
        <w:rPr>
          <w:rFonts w:hint="eastAsia" w:ascii="宋体" w:hAnsi="宋体" w:eastAsia="宋体" w:cs="宋体"/>
          <w:color w:val="auto"/>
          <w:sz w:val="21"/>
          <w:szCs w:val="21"/>
        </w:rPr>
      </w:pPr>
      <w:r>
        <w:rPr>
          <w:rFonts w:hint="eastAsia" w:ascii="宋体" w:hAnsi="宋体" w:eastAsia="宋体" w:cs="宋体"/>
          <w:b/>
          <w:color w:val="auto"/>
          <w:sz w:val="21"/>
          <w:szCs w:val="21"/>
          <w:highlight w:val="none"/>
        </w:rPr>
        <w:t>（4）</w:t>
      </w:r>
      <w:r>
        <w:rPr>
          <w:rFonts w:hint="eastAsia" w:ascii="宋体" w:hAnsi="宋体" w:eastAsia="宋体" w:cs="宋体"/>
          <w:b/>
          <w:bCs/>
          <w:color w:val="auto"/>
          <w:sz w:val="21"/>
          <w:szCs w:val="21"/>
        </w:rPr>
        <w:t>满足临时</w:t>
      </w:r>
      <w:r>
        <w:rPr>
          <w:rFonts w:hint="eastAsia" w:ascii="宋体" w:hAnsi="宋体" w:eastAsia="宋体" w:cs="宋体"/>
          <w:b/>
          <w:bCs/>
          <w:color w:val="auto"/>
          <w:sz w:val="21"/>
          <w:szCs w:val="21"/>
          <w:lang w:val="en-US" w:eastAsia="zh-CN"/>
        </w:rPr>
        <w:t>任务</w:t>
      </w:r>
      <w:r>
        <w:rPr>
          <w:rFonts w:hint="eastAsia" w:ascii="宋体" w:hAnsi="宋体" w:eastAsia="宋体" w:cs="宋体"/>
          <w:b/>
          <w:bCs/>
          <w:color w:val="auto"/>
          <w:sz w:val="21"/>
          <w:szCs w:val="21"/>
        </w:rPr>
        <w:t>保障服务。</w:t>
      </w:r>
      <w:r>
        <w:rPr>
          <w:rFonts w:hint="eastAsia" w:ascii="宋体" w:hAnsi="宋体" w:eastAsia="宋体" w:cs="宋体"/>
          <w:color w:val="auto"/>
          <w:sz w:val="21"/>
          <w:szCs w:val="21"/>
          <w:highlight w:val="none"/>
        </w:rPr>
        <w:t>主要包含</w:t>
      </w:r>
      <w:r>
        <w:rPr>
          <w:rFonts w:hint="eastAsia" w:ascii="宋体" w:hAnsi="宋体" w:eastAsia="宋体" w:cs="宋体"/>
          <w:color w:val="auto"/>
          <w:sz w:val="21"/>
          <w:szCs w:val="21"/>
        </w:rPr>
        <w:t>临时</w:t>
      </w:r>
      <w:r>
        <w:rPr>
          <w:rFonts w:hint="eastAsia" w:ascii="宋体" w:hAnsi="宋体" w:eastAsia="宋体" w:cs="宋体"/>
          <w:color w:val="auto"/>
          <w:sz w:val="21"/>
          <w:szCs w:val="21"/>
          <w:lang w:val="en-US" w:eastAsia="zh-CN"/>
        </w:rPr>
        <w:t>任务</w:t>
      </w:r>
      <w:r>
        <w:rPr>
          <w:rFonts w:hint="eastAsia" w:ascii="宋体" w:hAnsi="宋体" w:eastAsia="宋体" w:cs="宋体"/>
          <w:color w:val="auto"/>
          <w:sz w:val="21"/>
          <w:szCs w:val="21"/>
        </w:rPr>
        <w:t>保障服务等方面内容。</w:t>
      </w:r>
    </w:p>
    <w:p w14:paraId="1ACC3C91">
      <w:pPr>
        <w:widowControl/>
        <w:numPr>
          <w:ilvl w:val="0"/>
          <w:numId w:val="0"/>
        </w:numPr>
        <w:spacing w:line="360" w:lineRule="auto"/>
        <w:ind w:firstLine="422" w:firstLineChars="200"/>
        <w:rPr>
          <w:rFonts w:hint="eastAsia" w:ascii="宋体" w:hAnsi="宋体" w:cs="宋体"/>
          <w:b/>
          <w:bCs/>
          <w:color w:val="auto"/>
          <w:kern w:val="2"/>
          <w:sz w:val="21"/>
          <w:szCs w:val="21"/>
          <w:highlight w:val="yellow"/>
          <w:lang w:val="en-US" w:eastAsia="zh-CN" w:bidi="ar-SA"/>
        </w:rPr>
      </w:pPr>
      <w:r>
        <w:rPr>
          <w:rFonts w:hint="eastAsia" w:ascii="宋体" w:hAnsi="宋体" w:cs="宋体"/>
          <w:b/>
          <w:bCs/>
          <w:color w:val="auto"/>
          <w:kern w:val="2"/>
          <w:sz w:val="21"/>
          <w:szCs w:val="21"/>
          <w:lang w:val="en-US" w:eastAsia="zh-CN" w:bidi="ar-SA"/>
        </w:rPr>
        <w:t>5.</w:t>
      </w:r>
      <w:r>
        <w:rPr>
          <w:rFonts w:hint="eastAsia" w:ascii="宋体" w:hAnsi="宋体" w:cs="宋体"/>
          <w:b/>
          <w:bCs/>
          <w:color w:val="auto"/>
          <w:kern w:val="2"/>
          <w:sz w:val="21"/>
          <w:szCs w:val="21"/>
          <w:highlight w:val="none"/>
          <w:lang w:val="en-US" w:eastAsia="zh-CN" w:bidi="ar-SA"/>
        </w:rPr>
        <w:t>项目交接及开业方案</w:t>
      </w:r>
    </w:p>
    <w:p w14:paraId="34E9E953">
      <w:pPr>
        <w:widowControl/>
        <w:numPr>
          <w:ilvl w:val="0"/>
          <w:numId w:val="0"/>
        </w:numPr>
        <w:spacing w:line="360" w:lineRule="auto"/>
        <w:ind w:firstLine="420" w:firstLineChars="200"/>
        <w:rPr>
          <w:rFonts w:hint="eastAsia" w:ascii="宋体" w:hAnsi="宋体" w:cs="宋体"/>
          <w:b/>
          <w:bCs/>
          <w:color w:val="auto"/>
          <w:kern w:val="2"/>
          <w:sz w:val="21"/>
          <w:szCs w:val="21"/>
          <w:lang w:val="en-US" w:eastAsia="zh-CN" w:bidi="ar-SA"/>
        </w:rPr>
      </w:pPr>
      <w:r>
        <w:rPr>
          <w:rFonts w:hint="eastAsia" w:ascii="宋体" w:hAnsi="宋体" w:eastAsia="宋体" w:cs="宋体"/>
          <w:color w:val="auto"/>
          <w:sz w:val="21"/>
          <w:szCs w:val="21"/>
          <w:highlight w:val="none"/>
        </w:rPr>
        <w:t>标人应根据采购需求和本项目实际，制定本项目</w:t>
      </w:r>
      <w:r>
        <w:rPr>
          <w:rFonts w:hint="eastAsia" w:ascii="宋体" w:hAnsi="宋体" w:eastAsia="宋体" w:cs="宋体"/>
          <w:color w:val="auto"/>
          <w:sz w:val="21"/>
          <w:szCs w:val="21"/>
          <w:highlight w:val="none"/>
          <w:lang w:val="en-US" w:eastAsia="zh-CN"/>
        </w:rPr>
        <w:t>交接及开业方案</w:t>
      </w:r>
      <w:r>
        <w:rPr>
          <w:rFonts w:hint="eastAsia" w:ascii="宋体" w:hAnsi="宋体" w:eastAsia="宋体" w:cs="宋体"/>
          <w:color w:val="auto"/>
          <w:sz w:val="21"/>
          <w:szCs w:val="21"/>
          <w:highlight w:val="none"/>
        </w:rPr>
        <w:t>，方案</w:t>
      </w:r>
      <w:r>
        <w:rPr>
          <w:rFonts w:hint="eastAsia" w:ascii="宋体" w:hAnsi="宋体" w:eastAsia="宋体" w:cs="宋体"/>
          <w:color w:val="auto"/>
          <w:sz w:val="21"/>
          <w:szCs w:val="21"/>
          <w:highlight w:val="none"/>
          <w:lang w:eastAsia="zh-CN"/>
        </w:rPr>
        <w:t>至少包含</w:t>
      </w:r>
      <w:r>
        <w:rPr>
          <w:rFonts w:hint="eastAsia" w:ascii="宋体" w:hAnsi="宋体" w:eastAsia="宋体" w:cs="宋体"/>
          <w:color w:val="auto"/>
          <w:sz w:val="21"/>
          <w:szCs w:val="21"/>
          <w:highlight w:val="none"/>
        </w:rPr>
        <w:t>以下几方面，要求方案细致完整、针对性强、措施有力。</w:t>
      </w:r>
    </w:p>
    <w:p w14:paraId="04A93D8D">
      <w:pPr>
        <w:widowControl/>
        <w:numPr>
          <w:ilvl w:val="0"/>
          <w:numId w:val="0"/>
        </w:numPr>
        <w:spacing w:line="360" w:lineRule="auto"/>
        <w:ind w:firstLine="422" w:firstLineChars="200"/>
        <w:rPr>
          <w:rFonts w:hint="eastAsia" w:ascii="宋体" w:hAnsi="宋体" w:cs="宋体"/>
          <w:b/>
          <w:bCs/>
          <w:color w:val="auto"/>
          <w:kern w:val="2"/>
          <w:sz w:val="21"/>
          <w:szCs w:val="21"/>
          <w:lang w:val="en-US" w:eastAsia="zh-CN" w:bidi="ar-SA"/>
        </w:rPr>
      </w:pPr>
      <w:r>
        <w:rPr>
          <w:rFonts w:hint="eastAsia" w:ascii="宋体" w:hAnsi="宋体" w:cs="宋体"/>
          <w:b/>
          <w:bCs/>
          <w:color w:val="auto"/>
          <w:kern w:val="2"/>
          <w:sz w:val="21"/>
          <w:szCs w:val="21"/>
          <w:lang w:val="en-US" w:eastAsia="zh-CN" w:bidi="ar-SA"/>
        </w:rPr>
        <w:t>（1）项目交接工作方案</w:t>
      </w:r>
    </w:p>
    <w:p w14:paraId="316CB0DD">
      <w:pPr>
        <w:widowControl/>
        <w:numPr>
          <w:ilvl w:val="0"/>
          <w:numId w:val="0"/>
        </w:numPr>
        <w:spacing w:line="360" w:lineRule="auto"/>
        <w:ind w:firstLine="422" w:firstLineChars="200"/>
        <w:rPr>
          <w:rFonts w:hint="eastAsia" w:ascii="宋体" w:hAnsi="宋体" w:cs="宋体"/>
          <w:b w:val="0"/>
          <w:bCs w:val="0"/>
          <w:color w:val="auto"/>
          <w:kern w:val="2"/>
          <w:sz w:val="21"/>
          <w:szCs w:val="21"/>
          <w:lang w:val="en-US" w:eastAsia="zh-CN" w:bidi="ar-SA"/>
        </w:rPr>
      </w:pPr>
      <w:r>
        <w:rPr>
          <w:rFonts w:hint="eastAsia" w:ascii="宋体" w:hAnsi="宋体" w:cs="宋体"/>
          <w:b/>
          <w:bCs/>
          <w:color w:val="auto"/>
          <w:kern w:val="2"/>
          <w:sz w:val="21"/>
          <w:szCs w:val="21"/>
          <w:lang w:val="en-US" w:eastAsia="zh-CN" w:bidi="ar-SA"/>
        </w:rPr>
        <w:t>交接前期调研</w:t>
      </w:r>
    </w:p>
    <w:p w14:paraId="2523B905">
      <w:pPr>
        <w:widowControl/>
        <w:numPr>
          <w:ilvl w:val="0"/>
          <w:numId w:val="0"/>
        </w:numPr>
        <w:spacing w:line="360" w:lineRule="auto"/>
        <w:ind w:firstLine="422" w:firstLineChars="200"/>
        <w:rPr>
          <w:rFonts w:hint="eastAsia" w:ascii="宋体" w:hAnsi="宋体" w:cs="宋体"/>
          <w:b w:val="0"/>
          <w:bCs w:val="0"/>
          <w:color w:val="auto"/>
          <w:kern w:val="2"/>
          <w:sz w:val="21"/>
          <w:szCs w:val="21"/>
          <w:lang w:val="en-US" w:eastAsia="zh-CN" w:bidi="ar-SA"/>
        </w:rPr>
      </w:pPr>
      <w:r>
        <w:rPr>
          <w:rFonts w:hint="eastAsia" w:ascii="宋体" w:hAnsi="宋体" w:cs="宋体"/>
          <w:b/>
          <w:bCs/>
          <w:color w:val="auto"/>
          <w:kern w:val="2"/>
          <w:sz w:val="21"/>
          <w:szCs w:val="21"/>
          <w:lang w:val="en-US" w:eastAsia="zh-CN" w:bidi="ar-SA"/>
        </w:rPr>
        <w:t>资产设施设备盘点交接。</w:t>
      </w:r>
      <w:r>
        <w:rPr>
          <w:rFonts w:hint="eastAsia" w:ascii="宋体" w:hAnsi="宋体" w:cs="宋体"/>
          <w:b w:val="0"/>
          <w:bCs w:val="0"/>
          <w:color w:val="auto"/>
          <w:kern w:val="2"/>
          <w:sz w:val="21"/>
          <w:szCs w:val="21"/>
          <w:lang w:val="en-US" w:eastAsia="zh-CN" w:bidi="ar-SA"/>
        </w:rPr>
        <w:t>厨房灶具、蒸箱、冰柜、消毒柜、油烟机、净水设备、餐具、厨具、桌椅空调等逐项盘点登记；区分：完好在用、待维修、报废、需更换设备，形成《资产盘点明细表》；水电燃气管线、排水排烟、消防设施现场勘验，记录隐患点位；双方+招标人三方签字确认，建档留存。</w:t>
      </w:r>
    </w:p>
    <w:p w14:paraId="1D5D2A03">
      <w:pPr>
        <w:widowControl/>
        <w:numPr>
          <w:ilvl w:val="0"/>
          <w:numId w:val="0"/>
        </w:numPr>
        <w:spacing w:line="360" w:lineRule="auto"/>
        <w:ind w:firstLine="422" w:firstLineChars="200"/>
        <w:rPr>
          <w:rFonts w:hint="eastAsia" w:ascii="宋体" w:hAnsi="宋体" w:cs="宋体"/>
          <w:b w:val="0"/>
          <w:bCs w:val="0"/>
          <w:color w:val="auto"/>
          <w:kern w:val="2"/>
          <w:sz w:val="21"/>
          <w:szCs w:val="21"/>
          <w:lang w:val="en-US" w:eastAsia="zh-CN" w:bidi="ar-SA"/>
        </w:rPr>
      </w:pPr>
      <w:r>
        <w:rPr>
          <w:rFonts w:hint="eastAsia" w:ascii="宋体" w:hAnsi="宋体" w:cs="宋体"/>
          <w:b/>
          <w:bCs/>
          <w:color w:val="auto"/>
          <w:kern w:val="2"/>
          <w:sz w:val="21"/>
          <w:szCs w:val="21"/>
          <w:lang w:val="en-US" w:eastAsia="zh-CN" w:bidi="ar-SA"/>
        </w:rPr>
        <w:t>物资物料及库存交接。</w:t>
      </w:r>
      <w:r>
        <w:rPr>
          <w:rFonts w:hint="eastAsia" w:ascii="宋体" w:hAnsi="宋体" w:cs="宋体"/>
          <w:b w:val="0"/>
          <w:bCs w:val="0"/>
          <w:color w:val="auto"/>
          <w:kern w:val="2"/>
          <w:sz w:val="21"/>
          <w:szCs w:val="21"/>
          <w:lang w:val="en-US" w:eastAsia="zh-CN" w:bidi="ar-SA"/>
        </w:rPr>
        <w:t>米面油、调味品、半成品、生鲜库存盘点、保质期核查；清洁消杀用品、一次性耗材、劳保用品清点；临期、变质物资分类处置，杜绝流入餐桌，做好报废记录。</w:t>
      </w:r>
    </w:p>
    <w:p w14:paraId="48575FA7">
      <w:pPr>
        <w:widowControl/>
        <w:numPr>
          <w:ilvl w:val="0"/>
          <w:numId w:val="0"/>
        </w:numPr>
        <w:spacing w:line="360" w:lineRule="auto"/>
        <w:ind w:firstLine="422" w:firstLineChars="200"/>
        <w:rPr>
          <w:rFonts w:hint="eastAsia" w:ascii="宋体" w:hAnsi="宋体" w:cs="宋体"/>
          <w:b w:val="0"/>
          <w:bCs w:val="0"/>
          <w:color w:val="auto"/>
          <w:kern w:val="2"/>
          <w:sz w:val="21"/>
          <w:szCs w:val="21"/>
          <w:lang w:val="en-US" w:eastAsia="zh-CN" w:bidi="ar-SA"/>
        </w:rPr>
      </w:pPr>
      <w:r>
        <w:rPr>
          <w:rFonts w:hint="eastAsia" w:ascii="宋体" w:hAnsi="宋体" w:cs="宋体"/>
          <w:b/>
          <w:bCs/>
          <w:color w:val="auto"/>
          <w:kern w:val="2"/>
          <w:sz w:val="21"/>
          <w:szCs w:val="21"/>
          <w:lang w:val="en-US" w:eastAsia="zh-CN" w:bidi="ar-SA"/>
        </w:rPr>
        <w:t>场地现场交接。</w:t>
      </w:r>
      <w:r>
        <w:rPr>
          <w:rFonts w:hint="eastAsia" w:ascii="宋体" w:hAnsi="宋体" w:cs="宋体"/>
          <w:b w:val="0"/>
          <w:bCs w:val="0"/>
          <w:color w:val="auto"/>
          <w:kern w:val="2"/>
          <w:sz w:val="21"/>
          <w:szCs w:val="21"/>
          <w:lang w:val="en-US" w:eastAsia="zh-CN" w:bidi="ar-SA"/>
        </w:rPr>
        <w:t>厨房、库房、餐厅、更衣室、洗消间、垃圾房区域分界确认；水、电、燃气表底数现场抄录、三方签字，划分费用承担节点；环境卫生全面排查、蚊虫鼠害点位、死角问题记录备案。</w:t>
      </w:r>
    </w:p>
    <w:p w14:paraId="18B89B59">
      <w:pPr>
        <w:widowControl/>
        <w:numPr>
          <w:ilvl w:val="0"/>
          <w:numId w:val="0"/>
        </w:numPr>
        <w:spacing w:line="360" w:lineRule="auto"/>
        <w:ind w:firstLine="422" w:firstLineChars="200"/>
        <w:rPr>
          <w:rFonts w:hint="eastAsia" w:ascii="宋体" w:hAnsi="宋体" w:cs="宋体"/>
          <w:b/>
          <w:bCs/>
          <w:color w:val="auto"/>
          <w:kern w:val="2"/>
          <w:sz w:val="21"/>
          <w:szCs w:val="21"/>
          <w:lang w:val="en-US" w:eastAsia="zh-CN" w:bidi="ar-SA"/>
        </w:rPr>
      </w:pPr>
      <w:r>
        <w:rPr>
          <w:rFonts w:hint="eastAsia" w:ascii="宋体" w:hAnsi="宋体" w:cs="宋体"/>
          <w:b/>
          <w:bCs/>
          <w:color w:val="auto"/>
          <w:kern w:val="2"/>
          <w:sz w:val="21"/>
          <w:szCs w:val="21"/>
          <w:lang w:val="en-US" w:eastAsia="zh-CN" w:bidi="ar-SA"/>
        </w:rPr>
        <w:t>（2）开业前全面筹备工作</w:t>
      </w:r>
    </w:p>
    <w:p w14:paraId="40BACF00">
      <w:pPr>
        <w:widowControl/>
        <w:numPr>
          <w:ilvl w:val="0"/>
          <w:numId w:val="0"/>
        </w:numPr>
        <w:spacing w:line="360" w:lineRule="auto"/>
        <w:ind w:firstLine="422" w:firstLineChars="200"/>
        <w:rPr>
          <w:rFonts w:hint="eastAsia" w:ascii="宋体" w:hAnsi="宋体" w:cs="宋体"/>
          <w:b w:val="0"/>
          <w:bCs w:val="0"/>
          <w:color w:val="auto"/>
          <w:kern w:val="2"/>
          <w:sz w:val="21"/>
          <w:szCs w:val="21"/>
          <w:lang w:val="en-US" w:eastAsia="zh-CN" w:bidi="ar-SA"/>
        </w:rPr>
      </w:pPr>
      <w:r>
        <w:rPr>
          <w:rFonts w:hint="eastAsia" w:ascii="宋体" w:hAnsi="宋体" w:cs="宋体"/>
          <w:b/>
          <w:bCs/>
          <w:color w:val="auto"/>
          <w:kern w:val="2"/>
          <w:sz w:val="21"/>
          <w:szCs w:val="21"/>
          <w:lang w:val="en-US" w:eastAsia="zh-CN" w:bidi="ar-SA"/>
        </w:rPr>
        <w:t>环境卫生深度消杀整改。</w:t>
      </w:r>
      <w:r>
        <w:rPr>
          <w:rFonts w:hint="eastAsia" w:ascii="宋体" w:hAnsi="宋体" w:cs="宋体"/>
          <w:b w:val="0"/>
          <w:bCs w:val="0"/>
          <w:color w:val="auto"/>
          <w:kern w:val="2"/>
          <w:sz w:val="21"/>
          <w:szCs w:val="21"/>
          <w:lang w:val="en-US" w:eastAsia="zh-CN" w:bidi="ar-SA"/>
        </w:rPr>
        <w:t>厨房地沟、排烟管道、灶台、库房深度清洁+消杀灭鼠灭蟑；</w:t>
      </w:r>
    </w:p>
    <w:p w14:paraId="2867BA4F">
      <w:pPr>
        <w:widowControl/>
        <w:numPr>
          <w:ilvl w:val="0"/>
          <w:numId w:val="0"/>
        </w:numPr>
        <w:spacing w:line="360" w:lineRule="auto"/>
        <w:rPr>
          <w:rFonts w:hint="eastAsia" w:ascii="宋体" w:hAnsi="宋体" w:cs="宋体"/>
          <w:b w:val="0"/>
          <w:bCs w:val="0"/>
          <w:color w:val="auto"/>
          <w:kern w:val="2"/>
          <w:sz w:val="21"/>
          <w:szCs w:val="21"/>
          <w:lang w:val="en-US" w:eastAsia="zh-CN" w:bidi="ar-SA"/>
        </w:rPr>
      </w:pPr>
      <w:r>
        <w:rPr>
          <w:rFonts w:hint="eastAsia" w:ascii="宋体" w:hAnsi="宋体" w:cs="宋体"/>
          <w:b w:val="0"/>
          <w:bCs w:val="0"/>
          <w:color w:val="auto"/>
          <w:kern w:val="2"/>
          <w:sz w:val="21"/>
          <w:szCs w:val="21"/>
          <w:lang w:val="en-US" w:eastAsia="zh-CN" w:bidi="ar-SA"/>
        </w:rPr>
        <w:t>餐厅地面、墙面、门窗、餐椅全面清洗消毒；食材库房分类分区、防潮防鼠、离地离墙规范摆放。</w:t>
      </w:r>
    </w:p>
    <w:p w14:paraId="3CEF601A">
      <w:pPr>
        <w:widowControl/>
        <w:numPr>
          <w:ilvl w:val="0"/>
          <w:numId w:val="0"/>
        </w:numPr>
        <w:spacing w:line="360" w:lineRule="auto"/>
        <w:ind w:firstLine="422" w:firstLineChars="200"/>
        <w:rPr>
          <w:rFonts w:hint="eastAsia" w:ascii="宋体" w:hAnsi="宋体" w:cs="宋体"/>
          <w:b w:val="0"/>
          <w:bCs w:val="0"/>
          <w:color w:val="auto"/>
          <w:kern w:val="2"/>
          <w:sz w:val="21"/>
          <w:szCs w:val="21"/>
          <w:lang w:val="en-US" w:eastAsia="zh-CN" w:bidi="ar-SA"/>
        </w:rPr>
      </w:pPr>
      <w:r>
        <w:rPr>
          <w:rFonts w:hint="eastAsia" w:ascii="宋体" w:hAnsi="宋体" w:cs="宋体"/>
          <w:b/>
          <w:bCs/>
          <w:color w:val="auto"/>
          <w:kern w:val="2"/>
          <w:sz w:val="21"/>
          <w:szCs w:val="21"/>
          <w:lang w:val="en-US" w:eastAsia="zh-CN" w:bidi="ar-SA"/>
        </w:rPr>
        <w:t>设施设备维保检修。</w:t>
      </w:r>
      <w:r>
        <w:rPr>
          <w:rFonts w:hint="eastAsia" w:ascii="宋体" w:hAnsi="宋体" w:cs="宋体"/>
          <w:b w:val="0"/>
          <w:bCs w:val="0"/>
          <w:color w:val="auto"/>
          <w:kern w:val="2"/>
          <w:sz w:val="21"/>
          <w:szCs w:val="21"/>
          <w:lang w:val="en-US" w:eastAsia="zh-CN" w:bidi="ar-SA"/>
        </w:rPr>
        <w:t>所有厨具设备全面检修、保养、调试，故障设备提前维修更换；</w:t>
      </w:r>
    </w:p>
    <w:p w14:paraId="389C8C12">
      <w:pPr>
        <w:widowControl/>
        <w:numPr>
          <w:ilvl w:val="0"/>
          <w:numId w:val="0"/>
        </w:numPr>
        <w:spacing w:line="360" w:lineRule="auto"/>
        <w:rPr>
          <w:rFonts w:hint="eastAsia" w:ascii="宋体" w:hAnsi="宋体" w:cs="宋体"/>
          <w:b w:val="0"/>
          <w:bCs w:val="0"/>
          <w:color w:val="auto"/>
          <w:kern w:val="2"/>
          <w:sz w:val="21"/>
          <w:szCs w:val="21"/>
          <w:lang w:val="en-US" w:eastAsia="zh-CN" w:bidi="ar-SA"/>
        </w:rPr>
      </w:pPr>
      <w:r>
        <w:rPr>
          <w:rFonts w:hint="eastAsia" w:ascii="宋体" w:hAnsi="宋体" w:cs="宋体"/>
          <w:b w:val="0"/>
          <w:bCs w:val="0"/>
          <w:color w:val="auto"/>
          <w:kern w:val="2"/>
          <w:sz w:val="21"/>
          <w:szCs w:val="21"/>
          <w:lang w:val="en-US" w:eastAsia="zh-CN" w:bidi="ar-SA"/>
        </w:rPr>
        <w:t>燃气检漏、电路排查、消防器材校验、应急照明、应急通道畅通；建立设备日常维保台账、责任人、巡检频次。</w:t>
      </w:r>
    </w:p>
    <w:p w14:paraId="5BF771B9">
      <w:pPr>
        <w:widowControl/>
        <w:numPr>
          <w:ilvl w:val="0"/>
          <w:numId w:val="0"/>
        </w:numPr>
        <w:spacing w:line="360" w:lineRule="auto"/>
        <w:ind w:firstLine="422" w:firstLineChars="200"/>
        <w:rPr>
          <w:rFonts w:hint="eastAsia" w:ascii="宋体" w:hAnsi="宋体" w:cs="宋体"/>
          <w:b w:val="0"/>
          <w:bCs w:val="0"/>
          <w:color w:val="auto"/>
          <w:kern w:val="2"/>
          <w:sz w:val="21"/>
          <w:szCs w:val="21"/>
          <w:lang w:val="en-US" w:eastAsia="zh-CN" w:bidi="ar-SA"/>
        </w:rPr>
      </w:pPr>
      <w:r>
        <w:rPr>
          <w:rFonts w:hint="eastAsia" w:ascii="宋体" w:hAnsi="宋体" w:cs="宋体"/>
          <w:b/>
          <w:bCs/>
          <w:color w:val="auto"/>
          <w:kern w:val="2"/>
          <w:sz w:val="21"/>
          <w:szCs w:val="21"/>
          <w:lang w:val="en-US" w:eastAsia="zh-CN" w:bidi="ar-SA"/>
        </w:rPr>
        <w:t>人员岗前集中培训。</w:t>
      </w:r>
      <w:r>
        <w:rPr>
          <w:rFonts w:hint="eastAsia" w:ascii="宋体" w:hAnsi="宋体" w:cs="宋体"/>
          <w:b w:val="0"/>
          <w:bCs w:val="0"/>
          <w:color w:val="auto"/>
          <w:kern w:val="2"/>
          <w:sz w:val="21"/>
          <w:szCs w:val="21"/>
          <w:lang w:val="en-US" w:eastAsia="zh-CN" w:bidi="ar-SA"/>
        </w:rPr>
        <w:t>食品安全法律法规、公安单位保密纪律、廉洁从业要求；菜品制作规范、卫生操作、餐具消毒、食品留样、晨检制度；服务礼仪、文明用语、就餐秩序维护、突发事件应急处置；全员签订保密承诺书、食品安全责任承诺书、廉洁自律承诺书。</w:t>
      </w:r>
    </w:p>
    <w:p w14:paraId="0934A23D">
      <w:pPr>
        <w:widowControl/>
        <w:numPr>
          <w:ilvl w:val="0"/>
          <w:numId w:val="0"/>
        </w:numPr>
        <w:spacing w:line="360" w:lineRule="auto"/>
        <w:ind w:firstLine="422" w:firstLineChars="200"/>
        <w:rPr>
          <w:rFonts w:hint="eastAsia" w:ascii="宋体" w:hAnsi="宋体" w:cs="宋体"/>
          <w:b w:val="0"/>
          <w:bCs w:val="0"/>
          <w:color w:val="auto"/>
          <w:kern w:val="2"/>
          <w:sz w:val="21"/>
          <w:szCs w:val="21"/>
          <w:lang w:val="en-US" w:eastAsia="zh-CN" w:bidi="ar-SA"/>
        </w:rPr>
      </w:pPr>
      <w:r>
        <w:rPr>
          <w:rFonts w:hint="eastAsia" w:ascii="宋体" w:hAnsi="宋体" w:cs="宋体"/>
          <w:b/>
          <w:bCs/>
          <w:color w:val="auto"/>
          <w:kern w:val="2"/>
          <w:sz w:val="21"/>
          <w:szCs w:val="21"/>
          <w:lang w:val="en-US" w:eastAsia="zh-CN" w:bidi="ar-SA"/>
        </w:rPr>
        <w:t>食材供应链与仓储筹备。</w:t>
      </w:r>
      <w:r>
        <w:rPr>
          <w:rFonts w:hint="eastAsia" w:ascii="宋体" w:hAnsi="宋体" w:cs="宋体"/>
          <w:b w:val="0"/>
          <w:bCs w:val="0"/>
          <w:color w:val="auto"/>
          <w:kern w:val="2"/>
          <w:sz w:val="21"/>
          <w:szCs w:val="21"/>
          <w:lang w:val="en-US" w:eastAsia="zh-CN" w:bidi="ar-SA"/>
        </w:rPr>
        <w:t>确定定点采购供应商、实行溯源管理、批次检验；库房分区：干货区、冷藏区、冷冻区、清洁用品专区物理隔离；制定开业首周菜谱、备货计划、应急备用食材储备。</w:t>
      </w:r>
    </w:p>
    <w:p w14:paraId="644BF873">
      <w:pPr>
        <w:widowControl/>
        <w:numPr>
          <w:ilvl w:val="0"/>
          <w:numId w:val="0"/>
        </w:numPr>
        <w:spacing w:line="360" w:lineRule="auto"/>
        <w:ind w:firstLine="422" w:firstLineChars="200"/>
        <w:rPr>
          <w:rFonts w:hint="eastAsia" w:ascii="宋体" w:hAnsi="宋体" w:cs="宋体"/>
          <w:b/>
          <w:bCs/>
          <w:color w:val="auto"/>
          <w:kern w:val="2"/>
          <w:sz w:val="21"/>
          <w:szCs w:val="21"/>
          <w:lang w:val="en-US" w:eastAsia="zh-CN" w:bidi="ar-SA"/>
        </w:rPr>
      </w:pPr>
      <w:r>
        <w:rPr>
          <w:rFonts w:hint="eastAsia" w:ascii="宋体" w:hAnsi="宋体" w:cs="宋体"/>
          <w:b/>
          <w:bCs/>
          <w:color w:val="auto"/>
          <w:kern w:val="2"/>
          <w:sz w:val="21"/>
          <w:szCs w:val="21"/>
          <w:lang w:val="en-US" w:eastAsia="zh-CN" w:bidi="ar-SA"/>
        </w:rPr>
        <w:t>（3）正式开业运营保障方案</w:t>
      </w:r>
    </w:p>
    <w:p w14:paraId="67718687">
      <w:pPr>
        <w:widowControl/>
        <w:numPr>
          <w:ilvl w:val="0"/>
          <w:numId w:val="0"/>
        </w:numPr>
        <w:spacing w:line="360" w:lineRule="auto"/>
        <w:ind w:firstLine="422" w:firstLineChars="200"/>
        <w:rPr>
          <w:rFonts w:hint="eastAsia" w:ascii="宋体" w:hAnsi="宋体" w:cs="宋体"/>
          <w:b w:val="0"/>
          <w:bCs w:val="0"/>
          <w:color w:val="auto"/>
          <w:kern w:val="2"/>
          <w:sz w:val="21"/>
          <w:szCs w:val="21"/>
          <w:lang w:val="en-US" w:eastAsia="zh-CN" w:bidi="ar-SA"/>
        </w:rPr>
      </w:pPr>
      <w:r>
        <w:rPr>
          <w:rFonts w:hint="eastAsia" w:ascii="宋体" w:hAnsi="宋体" w:cs="宋体"/>
          <w:b/>
          <w:bCs/>
          <w:color w:val="auto"/>
          <w:kern w:val="2"/>
          <w:sz w:val="21"/>
          <w:szCs w:val="21"/>
          <w:lang w:val="en-US" w:eastAsia="zh-CN" w:bidi="ar-SA"/>
        </w:rPr>
        <w:t>开业首周专人值守。</w:t>
      </w:r>
      <w:r>
        <w:rPr>
          <w:rFonts w:hint="eastAsia" w:ascii="宋体" w:hAnsi="宋体" w:cs="宋体"/>
          <w:b w:val="0"/>
          <w:bCs w:val="0"/>
          <w:color w:val="auto"/>
          <w:kern w:val="2"/>
          <w:sz w:val="21"/>
          <w:szCs w:val="21"/>
          <w:lang w:val="en-US" w:eastAsia="zh-CN" w:bidi="ar-SA"/>
        </w:rPr>
        <w:t>项目负责人、厨师长、主管全程在岗，随时处置问题、动态调整菜品。</w:t>
      </w:r>
    </w:p>
    <w:p w14:paraId="63B97073">
      <w:pPr>
        <w:widowControl/>
        <w:numPr>
          <w:ilvl w:val="0"/>
          <w:numId w:val="0"/>
        </w:numPr>
        <w:spacing w:line="360" w:lineRule="auto"/>
        <w:ind w:firstLine="422" w:firstLineChars="200"/>
        <w:rPr>
          <w:rFonts w:hint="eastAsia" w:ascii="宋体" w:hAnsi="宋体" w:cs="宋体"/>
          <w:b w:val="0"/>
          <w:bCs w:val="0"/>
          <w:color w:val="auto"/>
          <w:kern w:val="2"/>
          <w:sz w:val="21"/>
          <w:szCs w:val="21"/>
          <w:lang w:val="en-US" w:eastAsia="zh-CN" w:bidi="ar-SA"/>
        </w:rPr>
      </w:pPr>
      <w:r>
        <w:rPr>
          <w:rFonts w:hint="eastAsia" w:ascii="宋体" w:hAnsi="宋体" w:cs="宋体"/>
          <w:b/>
          <w:bCs/>
          <w:color w:val="auto"/>
          <w:kern w:val="2"/>
          <w:sz w:val="21"/>
          <w:szCs w:val="21"/>
          <w:lang w:val="en-US" w:eastAsia="zh-CN" w:bidi="ar-SA"/>
        </w:rPr>
        <w:t>就餐秩序保障。</w:t>
      </w:r>
      <w:r>
        <w:rPr>
          <w:rFonts w:hint="eastAsia" w:ascii="宋体" w:hAnsi="宋体" w:cs="宋体"/>
          <w:b w:val="0"/>
          <w:bCs w:val="0"/>
          <w:color w:val="auto"/>
          <w:kern w:val="2"/>
          <w:sz w:val="21"/>
          <w:szCs w:val="21"/>
          <w:lang w:val="en-US" w:eastAsia="zh-CN" w:bidi="ar-SA"/>
        </w:rPr>
        <w:t>合理分餐时段、错峰就餐、引导排队、文明就餐维护，避免拥堵。</w:t>
      </w:r>
    </w:p>
    <w:p w14:paraId="56851D6F">
      <w:pPr>
        <w:widowControl/>
        <w:numPr>
          <w:ilvl w:val="0"/>
          <w:numId w:val="0"/>
        </w:numPr>
        <w:spacing w:line="360" w:lineRule="auto"/>
        <w:ind w:firstLine="422" w:firstLineChars="200"/>
        <w:rPr>
          <w:rFonts w:hint="eastAsia" w:ascii="宋体" w:hAnsi="宋体" w:cs="宋体"/>
          <w:b w:val="0"/>
          <w:bCs w:val="0"/>
          <w:color w:val="auto"/>
          <w:kern w:val="2"/>
          <w:sz w:val="21"/>
          <w:szCs w:val="21"/>
          <w:lang w:val="en-US" w:eastAsia="zh-CN" w:bidi="ar-SA"/>
        </w:rPr>
      </w:pPr>
      <w:r>
        <w:rPr>
          <w:rFonts w:hint="eastAsia" w:ascii="宋体" w:hAnsi="宋体" w:cs="宋体"/>
          <w:b/>
          <w:bCs/>
          <w:color w:val="auto"/>
          <w:kern w:val="2"/>
          <w:sz w:val="21"/>
          <w:szCs w:val="21"/>
          <w:lang w:val="en-US" w:eastAsia="zh-CN" w:bidi="ar-SA"/>
        </w:rPr>
        <w:t>食品安全严管。</w:t>
      </w:r>
      <w:r>
        <w:rPr>
          <w:rFonts w:hint="eastAsia" w:ascii="宋体" w:hAnsi="宋体" w:cs="宋体"/>
          <w:b w:val="0"/>
          <w:bCs w:val="0"/>
          <w:color w:val="auto"/>
          <w:kern w:val="2"/>
          <w:sz w:val="21"/>
          <w:szCs w:val="21"/>
          <w:lang w:val="en-US" w:eastAsia="zh-CN" w:bidi="ar-SA"/>
        </w:rPr>
        <w:t>开业期间加大抽检频次、严格48小时留样、专人验收食材、杜绝隐患。</w:t>
      </w:r>
    </w:p>
    <w:p w14:paraId="24D8C827">
      <w:pPr>
        <w:widowControl/>
        <w:numPr>
          <w:ilvl w:val="0"/>
          <w:numId w:val="0"/>
        </w:numPr>
        <w:spacing w:line="360" w:lineRule="auto"/>
        <w:ind w:firstLine="422" w:firstLineChars="200"/>
        <w:rPr>
          <w:rFonts w:hint="eastAsia" w:ascii="宋体" w:hAnsi="宋体" w:cs="宋体"/>
          <w:b w:val="0"/>
          <w:bCs w:val="0"/>
          <w:color w:val="auto"/>
          <w:kern w:val="2"/>
          <w:sz w:val="21"/>
          <w:szCs w:val="21"/>
          <w:lang w:val="en-US" w:eastAsia="zh-CN" w:bidi="ar-SA"/>
        </w:rPr>
      </w:pPr>
      <w:r>
        <w:rPr>
          <w:rFonts w:hint="eastAsia" w:ascii="宋体" w:hAnsi="宋体" w:cs="宋体"/>
          <w:b/>
          <w:bCs/>
          <w:color w:val="auto"/>
          <w:kern w:val="2"/>
          <w:sz w:val="21"/>
          <w:szCs w:val="21"/>
          <w:lang w:val="en-US" w:eastAsia="zh-CN" w:bidi="ar-SA"/>
        </w:rPr>
        <w:t>应急备用方案。</w:t>
      </w:r>
      <w:r>
        <w:rPr>
          <w:rFonts w:hint="eastAsia" w:ascii="宋体" w:hAnsi="宋体" w:cs="宋体"/>
          <w:b w:val="0"/>
          <w:bCs w:val="0"/>
          <w:color w:val="auto"/>
          <w:kern w:val="2"/>
          <w:sz w:val="21"/>
          <w:szCs w:val="21"/>
          <w:lang w:val="en-US" w:eastAsia="zh-CN" w:bidi="ar-SA"/>
        </w:rPr>
        <w:t>食材断供、人员突发缺勤、设备故障、突发舆情、食品安全事件应急处置预案提前报备甲方。</w:t>
      </w:r>
    </w:p>
    <w:p w14:paraId="6A5711B5">
      <w:pPr>
        <w:widowControl/>
        <w:numPr>
          <w:ilvl w:val="0"/>
          <w:numId w:val="0"/>
        </w:numPr>
        <w:spacing w:line="360" w:lineRule="auto"/>
        <w:ind w:firstLine="422" w:firstLineChars="200"/>
        <w:rPr>
          <w:rFonts w:hint="eastAsia" w:ascii="宋体" w:hAnsi="宋体" w:cs="宋体"/>
          <w:b/>
          <w:bCs/>
          <w:color w:val="auto"/>
          <w:kern w:val="2"/>
          <w:sz w:val="21"/>
          <w:szCs w:val="21"/>
          <w:lang w:val="en-US" w:eastAsia="zh-CN" w:bidi="ar-SA"/>
        </w:rPr>
      </w:pPr>
      <w:r>
        <w:rPr>
          <w:rFonts w:hint="eastAsia" w:ascii="宋体" w:hAnsi="宋体" w:cs="宋体"/>
          <w:b/>
          <w:bCs/>
          <w:color w:val="auto"/>
          <w:kern w:val="2"/>
          <w:sz w:val="21"/>
          <w:szCs w:val="21"/>
          <w:lang w:val="en-US" w:eastAsia="zh-CN" w:bidi="ar-SA"/>
        </w:rPr>
        <w:t>6.</w:t>
      </w:r>
      <w:r>
        <w:rPr>
          <w:rFonts w:hint="eastAsia" w:ascii="宋体" w:hAnsi="宋体" w:cs="宋体"/>
          <w:b/>
          <w:bCs/>
          <w:color w:val="auto"/>
          <w:kern w:val="2"/>
          <w:sz w:val="21"/>
          <w:szCs w:val="21"/>
          <w:highlight w:val="none"/>
          <w:lang w:val="en-US" w:eastAsia="zh-CN" w:bidi="ar-SA"/>
        </w:rPr>
        <w:t>创新与建议</w:t>
      </w:r>
    </w:p>
    <w:p w14:paraId="301DC795">
      <w:pPr>
        <w:widowControl/>
        <w:spacing w:line="360" w:lineRule="auto"/>
        <w:ind w:firstLine="420" w:firstLineChars="200"/>
        <w:rPr>
          <w:rFonts w:hint="eastAsia" w:ascii="宋体" w:hAnsi="宋体" w:cs="宋体"/>
          <w:b w:val="0"/>
          <w:bCs w:val="0"/>
          <w:color w:val="auto"/>
          <w:kern w:val="2"/>
          <w:sz w:val="21"/>
          <w:szCs w:val="21"/>
          <w:lang w:val="en-US" w:eastAsia="zh-CN" w:bidi="ar-SA"/>
        </w:rPr>
      </w:pPr>
      <w:r>
        <w:rPr>
          <w:rFonts w:hint="eastAsia" w:ascii="宋体" w:hAnsi="宋体" w:eastAsia="宋体" w:cs="宋体"/>
          <w:color w:val="auto"/>
          <w:sz w:val="21"/>
          <w:szCs w:val="21"/>
          <w:highlight w:val="none"/>
        </w:rPr>
        <w:t>标人应根据采购需求和本项目实际，制定本项目</w:t>
      </w:r>
      <w:r>
        <w:rPr>
          <w:rFonts w:hint="eastAsia" w:ascii="宋体" w:hAnsi="宋体" w:eastAsia="宋体" w:cs="宋体"/>
          <w:color w:val="auto"/>
          <w:sz w:val="21"/>
          <w:szCs w:val="21"/>
          <w:highlight w:val="none"/>
          <w:lang w:val="en-US" w:eastAsia="zh-CN"/>
        </w:rPr>
        <w:t>创新与建议</w:t>
      </w:r>
      <w:r>
        <w:rPr>
          <w:rFonts w:hint="eastAsia" w:ascii="宋体" w:hAnsi="宋体" w:eastAsia="宋体" w:cs="宋体"/>
          <w:color w:val="auto"/>
          <w:sz w:val="21"/>
          <w:szCs w:val="21"/>
          <w:highlight w:val="none"/>
        </w:rPr>
        <w:t>，方案</w:t>
      </w:r>
      <w:r>
        <w:rPr>
          <w:rFonts w:hint="eastAsia" w:ascii="宋体" w:hAnsi="宋体" w:eastAsia="宋体" w:cs="宋体"/>
          <w:color w:val="auto"/>
          <w:sz w:val="21"/>
          <w:szCs w:val="21"/>
          <w:highlight w:val="none"/>
          <w:lang w:eastAsia="zh-CN"/>
        </w:rPr>
        <w:t>至少包含</w:t>
      </w:r>
      <w:r>
        <w:rPr>
          <w:rFonts w:hint="eastAsia" w:ascii="宋体" w:hAnsi="宋体" w:eastAsia="宋体" w:cs="宋体"/>
          <w:color w:val="auto"/>
          <w:sz w:val="21"/>
          <w:szCs w:val="21"/>
          <w:highlight w:val="none"/>
        </w:rPr>
        <w:t>以下几方面，要求方案细致完整、针对性强、措施有力。</w:t>
      </w:r>
    </w:p>
    <w:p w14:paraId="7867C3F9">
      <w:pPr>
        <w:widowControl/>
        <w:numPr>
          <w:ilvl w:val="0"/>
          <w:numId w:val="0"/>
        </w:numPr>
        <w:spacing w:line="360" w:lineRule="auto"/>
        <w:ind w:firstLine="422" w:firstLineChars="200"/>
        <w:rPr>
          <w:rFonts w:hint="eastAsia" w:ascii="宋体" w:hAnsi="宋体" w:cs="宋体"/>
          <w:b/>
          <w:bCs/>
          <w:color w:val="auto"/>
          <w:kern w:val="2"/>
          <w:sz w:val="21"/>
          <w:szCs w:val="21"/>
          <w:lang w:val="en-US" w:eastAsia="zh-CN" w:bidi="ar-SA"/>
        </w:rPr>
      </w:pPr>
      <w:r>
        <w:rPr>
          <w:rFonts w:hint="eastAsia" w:ascii="宋体" w:hAnsi="宋体" w:cs="宋体"/>
          <w:b/>
          <w:bCs/>
          <w:color w:val="auto"/>
          <w:kern w:val="2"/>
          <w:sz w:val="21"/>
          <w:szCs w:val="21"/>
          <w:lang w:val="en-US" w:eastAsia="zh-CN" w:bidi="ar-SA"/>
        </w:rPr>
        <w:t>（1）菜品餐饮创新</w:t>
      </w:r>
    </w:p>
    <w:p w14:paraId="74DE0D1B">
      <w:pPr>
        <w:widowControl/>
        <w:numPr>
          <w:ilvl w:val="0"/>
          <w:numId w:val="0"/>
        </w:numPr>
        <w:spacing w:line="360" w:lineRule="auto"/>
        <w:ind w:firstLine="422" w:firstLineChars="200"/>
        <w:rPr>
          <w:rFonts w:hint="eastAsia" w:ascii="宋体" w:hAnsi="宋体" w:cs="宋体"/>
          <w:b w:val="0"/>
          <w:bCs w:val="0"/>
          <w:color w:val="auto"/>
          <w:kern w:val="2"/>
          <w:sz w:val="21"/>
          <w:szCs w:val="21"/>
          <w:lang w:val="en-US" w:eastAsia="zh-CN" w:bidi="ar-SA"/>
        </w:rPr>
      </w:pPr>
      <w:r>
        <w:rPr>
          <w:rFonts w:hint="eastAsia" w:ascii="宋体" w:hAnsi="宋体" w:cs="宋体"/>
          <w:b/>
          <w:bCs/>
          <w:color w:val="auto"/>
          <w:kern w:val="2"/>
          <w:sz w:val="21"/>
          <w:szCs w:val="21"/>
          <w:lang w:val="en-US" w:eastAsia="zh-CN" w:bidi="ar-SA"/>
        </w:rPr>
        <w:t>营养膳食科学化。</w:t>
      </w:r>
      <w:r>
        <w:rPr>
          <w:rFonts w:hint="eastAsia" w:ascii="宋体" w:hAnsi="宋体" w:cs="宋体"/>
          <w:b w:val="0"/>
          <w:bCs w:val="0"/>
          <w:color w:val="auto"/>
          <w:kern w:val="2"/>
          <w:sz w:val="21"/>
          <w:szCs w:val="21"/>
          <w:lang w:val="en-US" w:eastAsia="zh-CN" w:bidi="ar-SA"/>
        </w:rPr>
        <w:t>分早中晚科学配餐，低盐、低脂、低糖，适配公职人员长期办公作息；</w:t>
      </w:r>
    </w:p>
    <w:p w14:paraId="3EC4BEC6">
      <w:pPr>
        <w:widowControl/>
        <w:numPr>
          <w:ilvl w:val="0"/>
          <w:numId w:val="0"/>
        </w:numPr>
        <w:spacing w:line="360" w:lineRule="auto"/>
        <w:rPr>
          <w:rFonts w:hint="eastAsia" w:ascii="宋体" w:hAnsi="宋体" w:cs="宋体"/>
          <w:b w:val="0"/>
          <w:bCs w:val="0"/>
          <w:color w:val="auto"/>
          <w:kern w:val="2"/>
          <w:sz w:val="21"/>
          <w:szCs w:val="21"/>
          <w:lang w:val="en-US" w:eastAsia="zh-CN" w:bidi="ar-SA"/>
        </w:rPr>
      </w:pPr>
      <w:r>
        <w:rPr>
          <w:rFonts w:hint="eastAsia" w:ascii="宋体" w:hAnsi="宋体" w:cs="宋体"/>
          <w:b w:val="0"/>
          <w:bCs w:val="0"/>
          <w:color w:val="auto"/>
          <w:kern w:val="2"/>
          <w:sz w:val="21"/>
          <w:szCs w:val="21"/>
          <w:lang w:val="en-US" w:eastAsia="zh-CN" w:bidi="ar-SA"/>
        </w:rPr>
        <w:t>每周公示营养食谱+热量标注，荤素搭配、粗细粮结合；设立减脂餐、清淡餐、杂粮餐、养生粥品专区。</w:t>
      </w:r>
    </w:p>
    <w:p w14:paraId="7A0144D7">
      <w:pPr>
        <w:widowControl/>
        <w:numPr>
          <w:ilvl w:val="0"/>
          <w:numId w:val="0"/>
        </w:numPr>
        <w:spacing w:line="360" w:lineRule="auto"/>
        <w:ind w:firstLine="422" w:firstLineChars="200"/>
        <w:rPr>
          <w:rFonts w:hint="eastAsia" w:ascii="宋体" w:hAnsi="宋体" w:cs="宋体"/>
          <w:b w:val="0"/>
          <w:bCs w:val="0"/>
          <w:color w:val="auto"/>
          <w:kern w:val="2"/>
          <w:sz w:val="21"/>
          <w:szCs w:val="21"/>
          <w:lang w:val="en-US" w:eastAsia="zh-CN" w:bidi="ar-SA"/>
        </w:rPr>
      </w:pPr>
      <w:r>
        <w:rPr>
          <w:rFonts w:hint="eastAsia" w:ascii="宋体" w:hAnsi="宋体" w:cs="宋体"/>
          <w:b/>
          <w:bCs/>
          <w:color w:val="auto"/>
          <w:kern w:val="2"/>
          <w:sz w:val="21"/>
          <w:szCs w:val="21"/>
          <w:lang w:val="en-US" w:eastAsia="zh-CN" w:bidi="ar-SA"/>
        </w:rPr>
        <w:t>菜品轮换与地域口味优化。</w:t>
      </w:r>
      <w:r>
        <w:rPr>
          <w:rFonts w:hint="eastAsia" w:ascii="宋体" w:hAnsi="宋体" w:cs="宋体"/>
          <w:b w:val="0"/>
          <w:bCs w:val="0"/>
          <w:color w:val="auto"/>
          <w:kern w:val="2"/>
          <w:sz w:val="21"/>
          <w:szCs w:val="21"/>
          <w:lang w:val="en-US" w:eastAsia="zh-CN" w:bidi="ar-SA"/>
        </w:rPr>
        <w:t>实行每周菜谱不重样、每月大轮换，季节性更新菜品；</w:t>
      </w:r>
    </w:p>
    <w:p w14:paraId="422827B2">
      <w:pPr>
        <w:widowControl/>
        <w:numPr>
          <w:ilvl w:val="0"/>
          <w:numId w:val="0"/>
        </w:numPr>
        <w:spacing w:line="360" w:lineRule="auto"/>
        <w:rPr>
          <w:rFonts w:hint="eastAsia" w:ascii="宋体" w:hAnsi="宋体" w:cs="宋体"/>
          <w:b w:val="0"/>
          <w:bCs w:val="0"/>
          <w:color w:val="auto"/>
          <w:kern w:val="2"/>
          <w:sz w:val="21"/>
          <w:szCs w:val="21"/>
          <w:lang w:val="en-US" w:eastAsia="zh-CN" w:bidi="ar-SA"/>
        </w:rPr>
      </w:pPr>
      <w:r>
        <w:rPr>
          <w:rFonts w:hint="eastAsia" w:ascii="宋体" w:hAnsi="宋体" w:cs="宋体"/>
          <w:b w:val="0"/>
          <w:bCs w:val="0"/>
          <w:color w:val="auto"/>
          <w:kern w:val="2"/>
          <w:sz w:val="21"/>
          <w:szCs w:val="21"/>
          <w:lang w:val="en-US" w:eastAsia="zh-CN" w:bidi="ar-SA"/>
        </w:rPr>
        <w:t>节气养生菜、时令野菜、防暑养胃菜品定期推出。</w:t>
      </w:r>
    </w:p>
    <w:p w14:paraId="0C36B131">
      <w:pPr>
        <w:widowControl/>
        <w:numPr>
          <w:ilvl w:val="0"/>
          <w:numId w:val="0"/>
        </w:numPr>
        <w:spacing w:line="360" w:lineRule="auto"/>
        <w:ind w:firstLine="422" w:firstLineChars="200"/>
        <w:rPr>
          <w:rFonts w:hint="eastAsia" w:ascii="宋体" w:hAnsi="宋体" w:cs="宋体"/>
          <w:b w:val="0"/>
          <w:bCs w:val="0"/>
          <w:color w:val="auto"/>
          <w:kern w:val="2"/>
          <w:sz w:val="21"/>
          <w:szCs w:val="21"/>
          <w:lang w:val="en-US" w:eastAsia="zh-CN" w:bidi="ar-SA"/>
        </w:rPr>
      </w:pPr>
      <w:r>
        <w:rPr>
          <w:rFonts w:hint="eastAsia" w:ascii="宋体" w:hAnsi="宋体" w:cs="宋体"/>
          <w:b/>
          <w:bCs/>
          <w:color w:val="auto"/>
          <w:kern w:val="2"/>
          <w:sz w:val="21"/>
          <w:szCs w:val="21"/>
          <w:lang w:val="en-US" w:eastAsia="zh-CN" w:bidi="ar-SA"/>
        </w:rPr>
        <w:t>（2）食品安全与管控创新</w:t>
      </w:r>
    </w:p>
    <w:p w14:paraId="4DB0838D">
      <w:pPr>
        <w:widowControl/>
        <w:numPr>
          <w:ilvl w:val="0"/>
          <w:numId w:val="0"/>
        </w:numPr>
        <w:spacing w:line="360" w:lineRule="auto"/>
        <w:ind w:firstLine="422" w:firstLineChars="200"/>
        <w:rPr>
          <w:rFonts w:hint="eastAsia" w:ascii="宋体" w:hAnsi="宋体" w:cs="宋体"/>
          <w:b w:val="0"/>
          <w:bCs w:val="0"/>
          <w:color w:val="auto"/>
          <w:kern w:val="2"/>
          <w:sz w:val="21"/>
          <w:szCs w:val="21"/>
          <w:lang w:val="en-US" w:eastAsia="zh-CN" w:bidi="ar-SA"/>
        </w:rPr>
      </w:pPr>
      <w:r>
        <w:rPr>
          <w:rFonts w:hint="eastAsia" w:ascii="宋体" w:hAnsi="宋体" w:cs="宋体"/>
          <w:b/>
          <w:bCs/>
          <w:color w:val="auto"/>
          <w:kern w:val="2"/>
          <w:sz w:val="21"/>
          <w:szCs w:val="21"/>
          <w:lang w:val="en-US" w:eastAsia="zh-CN" w:bidi="ar-SA"/>
        </w:rPr>
        <w:t>食材溯源透明化。</w:t>
      </w:r>
      <w:r>
        <w:rPr>
          <w:rFonts w:hint="eastAsia" w:ascii="宋体" w:hAnsi="宋体" w:cs="宋体"/>
          <w:b w:val="0"/>
          <w:bCs w:val="0"/>
          <w:color w:val="auto"/>
          <w:kern w:val="2"/>
          <w:sz w:val="21"/>
          <w:szCs w:val="21"/>
          <w:lang w:val="en-US" w:eastAsia="zh-CN" w:bidi="ar-SA"/>
        </w:rPr>
        <w:t>食材来源、检测报告、供应商资质每日公示，一物一溯源，台账可随时抽查。</w:t>
      </w:r>
    </w:p>
    <w:p w14:paraId="64E1BF75">
      <w:pPr>
        <w:widowControl/>
        <w:numPr>
          <w:ilvl w:val="0"/>
          <w:numId w:val="0"/>
        </w:numPr>
        <w:spacing w:line="360" w:lineRule="auto"/>
        <w:ind w:firstLine="422" w:firstLineChars="200"/>
        <w:rPr>
          <w:rFonts w:hint="eastAsia" w:ascii="宋体" w:hAnsi="宋体" w:cs="宋体"/>
          <w:b w:val="0"/>
          <w:bCs w:val="0"/>
          <w:color w:val="auto"/>
          <w:kern w:val="2"/>
          <w:sz w:val="21"/>
          <w:szCs w:val="21"/>
          <w:lang w:val="en-US" w:eastAsia="zh-CN" w:bidi="ar-SA"/>
        </w:rPr>
      </w:pPr>
      <w:r>
        <w:rPr>
          <w:rFonts w:hint="eastAsia" w:ascii="宋体" w:hAnsi="宋体" w:cs="宋体"/>
          <w:b/>
          <w:bCs/>
          <w:color w:val="auto"/>
          <w:kern w:val="2"/>
          <w:sz w:val="21"/>
          <w:szCs w:val="21"/>
          <w:lang w:val="en-US" w:eastAsia="zh-CN" w:bidi="ar-SA"/>
        </w:rPr>
        <w:t>智能化留样+电子晨检。</w:t>
      </w:r>
      <w:r>
        <w:rPr>
          <w:rFonts w:hint="eastAsia" w:ascii="宋体" w:hAnsi="宋体" w:cs="宋体"/>
          <w:b w:val="0"/>
          <w:bCs w:val="0"/>
          <w:color w:val="auto"/>
          <w:kern w:val="2"/>
          <w:sz w:val="21"/>
          <w:szCs w:val="21"/>
          <w:lang w:val="en-US" w:eastAsia="zh-CN" w:bidi="ar-SA"/>
        </w:rPr>
        <w:t>电子晨检登记、自动提醒留样、消毒记录电子化，减少人为疏漏。</w:t>
      </w:r>
    </w:p>
    <w:p w14:paraId="3C5EA1A0">
      <w:pPr>
        <w:widowControl/>
        <w:numPr>
          <w:ilvl w:val="0"/>
          <w:numId w:val="0"/>
        </w:numPr>
        <w:spacing w:line="360" w:lineRule="auto"/>
        <w:ind w:firstLine="422" w:firstLineChars="200"/>
        <w:rPr>
          <w:rFonts w:hint="eastAsia" w:ascii="宋体" w:hAnsi="宋体" w:cs="宋体"/>
          <w:b/>
          <w:bCs/>
          <w:color w:val="auto"/>
          <w:kern w:val="2"/>
          <w:sz w:val="21"/>
          <w:szCs w:val="21"/>
          <w:lang w:val="en-US" w:eastAsia="zh-CN" w:bidi="ar-SA"/>
        </w:rPr>
      </w:pPr>
      <w:r>
        <w:rPr>
          <w:rFonts w:hint="eastAsia" w:ascii="宋体" w:hAnsi="宋体" w:cs="宋体"/>
          <w:b/>
          <w:bCs/>
          <w:color w:val="auto"/>
          <w:kern w:val="2"/>
          <w:sz w:val="21"/>
          <w:szCs w:val="21"/>
          <w:lang w:val="en-US" w:eastAsia="zh-CN" w:bidi="ar-SA"/>
        </w:rPr>
        <w:t>（3）环境卫生与消杀常态化创新</w:t>
      </w:r>
    </w:p>
    <w:p w14:paraId="7413434A">
      <w:pPr>
        <w:widowControl/>
        <w:numPr>
          <w:ilvl w:val="0"/>
          <w:numId w:val="0"/>
        </w:numPr>
        <w:spacing w:line="360" w:lineRule="auto"/>
        <w:ind w:firstLine="420" w:firstLineChars="200"/>
        <w:rPr>
          <w:rFonts w:hint="eastAsia" w:ascii="宋体" w:hAnsi="宋体" w:cs="宋体"/>
          <w:b w:val="0"/>
          <w:bCs w:val="0"/>
          <w:color w:val="auto"/>
          <w:kern w:val="2"/>
          <w:sz w:val="21"/>
          <w:szCs w:val="21"/>
          <w:lang w:val="en-US" w:eastAsia="zh-CN" w:bidi="ar-SA"/>
        </w:rPr>
      </w:pPr>
      <w:r>
        <w:rPr>
          <w:rFonts w:hint="eastAsia" w:ascii="宋体" w:hAnsi="宋体" w:cs="宋体"/>
          <w:b w:val="0"/>
          <w:bCs w:val="0"/>
          <w:color w:val="auto"/>
          <w:kern w:val="2"/>
          <w:sz w:val="21"/>
          <w:szCs w:val="21"/>
          <w:lang w:val="en-US" w:eastAsia="zh-CN" w:bidi="ar-SA"/>
        </w:rPr>
        <w:t>实行“每日清洁+每周大扫除+每月深度消杀”；</w:t>
      </w:r>
    </w:p>
    <w:p w14:paraId="60EC1B12">
      <w:pPr>
        <w:widowControl/>
        <w:numPr>
          <w:ilvl w:val="0"/>
          <w:numId w:val="0"/>
        </w:numPr>
        <w:spacing w:line="360" w:lineRule="auto"/>
        <w:ind w:firstLine="420" w:firstLineChars="200"/>
        <w:rPr>
          <w:rFonts w:hint="eastAsia" w:ascii="宋体" w:hAnsi="宋体" w:cs="宋体"/>
          <w:b w:val="0"/>
          <w:bCs w:val="0"/>
          <w:color w:val="auto"/>
          <w:kern w:val="2"/>
          <w:sz w:val="21"/>
          <w:szCs w:val="21"/>
          <w:lang w:val="en-US" w:eastAsia="zh-CN" w:bidi="ar-SA"/>
        </w:rPr>
      </w:pPr>
      <w:r>
        <w:rPr>
          <w:rFonts w:hint="eastAsia" w:ascii="宋体" w:hAnsi="宋体" w:cs="宋体"/>
          <w:b w:val="0"/>
          <w:bCs w:val="0"/>
          <w:color w:val="auto"/>
          <w:kern w:val="2"/>
          <w:sz w:val="21"/>
          <w:szCs w:val="21"/>
          <w:lang w:val="en-US" w:eastAsia="zh-CN" w:bidi="ar-SA"/>
        </w:rPr>
        <w:t>蚊虫鼠害三防常态化，后厨分区色标管理、工具分类专用，交叉污染零容忍。</w:t>
      </w:r>
    </w:p>
    <w:p w14:paraId="55DD2FAD">
      <w:pPr>
        <w:widowControl/>
        <w:numPr>
          <w:ilvl w:val="0"/>
          <w:numId w:val="0"/>
        </w:numPr>
        <w:spacing w:line="360" w:lineRule="auto"/>
        <w:ind w:firstLine="422" w:firstLineChars="200"/>
        <w:rPr>
          <w:rFonts w:hint="eastAsia" w:ascii="宋体" w:hAnsi="宋体" w:cs="宋体"/>
          <w:b/>
          <w:bCs/>
          <w:color w:val="auto"/>
          <w:kern w:val="2"/>
          <w:sz w:val="21"/>
          <w:szCs w:val="21"/>
          <w:lang w:val="en-US" w:eastAsia="zh-CN" w:bidi="ar-SA"/>
        </w:rPr>
      </w:pPr>
      <w:r>
        <w:rPr>
          <w:rFonts w:hint="eastAsia" w:ascii="宋体" w:hAnsi="宋体" w:cs="宋体"/>
          <w:b/>
          <w:bCs/>
          <w:color w:val="auto"/>
          <w:kern w:val="2"/>
          <w:sz w:val="21"/>
          <w:szCs w:val="21"/>
          <w:lang w:val="en-US" w:eastAsia="zh-CN" w:bidi="ar-SA"/>
        </w:rPr>
        <w:t>七、企业业绩</w:t>
      </w:r>
    </w:p>
    <w:p w14:paraId="75544DEA">
      <w:pPr>
        <w:widowControl/>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为了确保项目的顺利实施，投标人需具备丰富的服务承接经验，确保本项目的顺利实施，投标人提供自</w:t>
      </w:r>
      <w:r>
        <w:rPr>
          <w:rFonts w:hint="eastAsia" w:ascii="宋体" w:hAnsi="宋体" w:eastAsia="宋体" w:cs="宋体"/>
          <w:color w:val="auto"/>
          <w:kern w:val="2"/>
          <w:sz w:val="21"/>
          <w:szCs w:val="21"/>
          <w:lang w:val="en-US" w:eastAsia="zh-CN" w:bidi="ar-SA"/>
        </w:rPr>
        <w:t>2023年4月1日以来承担过类似食堂外包服务的</w:t>
      </w:r>
      <w:r>
        <w:rPr>
          <w:rFonts w:hint="eastAsia" w:ascii="宋体" w:hAnsi="宋体" w:eastAsia="宋体" w:cs="宋体"/>
          <w:color w:val="auto"/>
          <w:sz w:val="21"/>
          <w:szCs w:val="21"/>
          <w:highlight w:val="none"/>
          <w:lang w:val="en-US" w:eastAsia="zh-CN"/>
        </w:rPr>
        <w:t>相关业绩的优先。</w:t>
      </w:r>
    </w:p>
    <w:p w14:paraId="73C8DCB4">
      <w:pPr>
        <w:widowControl/>
        <w:numPr>
          <w:ilvl w:val="0"/>
          <w:numId w:val="0"/>
        </w:numPr>
        <w:spacing w:line="360" w:lineRule="auto"/>
        <w:ind w:firstLine="422" w:firstLineChars="200"/>
        <w:rPr>
          <w:rFonts w:hint="eastAsia" w:ascii="宋体" w:hAnsi="宋体" w:cs="宋体"/>
          <w:b/>
          <w:bCs/>
          <w:color w:val="auto"/>
          <w:kern w:val="2"/>
          <w:sz w:val="21"/>
          <w:szCs w:val="21"/>
          <w:lang w:val="en-US" w:eastAsia="zh-CN" w:bidi="ar-SA"/>
        </w:rPr>
      </w:pPr>
      <w:r>
        <w:rPr>
          <w:rFonts w:hint="eastAsia" w:ascii="宋体" w:hAnsi="宋体" w:cs="宋体"/>
          <w:b/>
          <w:bCs/>
          <w:color w:val="auto"/>
          <w:kern w:val="2"/>
          <w:sz w:val="21"/>
          <w:szCs w:val="21"/>
          <w:lang w:val="en-US" w:eastAsia="zh-CN" w:bidi="ar-SA"/>
        </w:rPr>
        <w:t>八、企业实力</w:t>
      </w:r>
    </w:p>
    <w:p w14:paraId="31E3F62A">
      <w:pPr>
        <w:widowControl/>
        <w:numPr>
          <w:ilvl w:val="0"/>
          <w:numId w:val="0"/>
        </w:numPr>
        <w:spacing w:line="360" w:lineRule="auto"/>
        <w:ind w:firstLine="420" w:firstLineChars="200"/>
        <w:rPr>
          <w:rFonts w:hint="eastAsia" w:ascii="宋体" w:hAnsi="宋体" w:cs="宋体"/>
          <w:b/>
          <w:bCs/>
          <w:color w:val="auto"/>
          <w:kern w:val="2"/>
          <w:sz w:val="21"/>
          <w:szCs w:val="21"/>
          <w:lang w:val="en-US" w:eastAsia="zh-CN" w:bidi="ar-SA"/>
        </w:rPr>
      </w:pPr>
      <w:r>
        <w:rPr>
          <w:rFonts w:hint="eastAsia" w:ascii="宋体" w:hAnsi="宋体" w:eastAsia="宋体" w:cs="宋体"/>
          <w:color w:val="auto"/>
          <w:sz w:val="21"/>
          <w:szCs w:val="21"/>
          <w:highlight w:val="none"/>
          <w:lang w:val="en-US" w:eastAsia="zh-CN"/>
        </w:rPr>
        <w:t>为了择优选择中标人，体现企业实力，投标人具有</w:t>
      </w:r>
      <w:r>
        <w:rPr>
          <w:rFonts w:hint="eastAsia" w:ascii="宋体" w:hAnsi="宋体" w:eastAsia="宋体" w:cs="宋体"/>
          <w:color w:val="auto"/>
          <w:kern w:val="2"/>
          <w:sz w:val="21"/>
          <w:szCs w:val="21"/>
          <w:highlight w:val="none"/>
          <w:lang w:val="en-US" w:eastAsia="zh-CN" w:bidi="ar-SA"/>
        </w:rPr>
        <w:t>质量管理体系认证证书、环境管理体系认证证书、职业健康安全管理体系认证证书</w:t>
      </w:r>
      <w:r>
        <w:rPr>
          <w:rFonts w:hint="eastAsia" w:ascii="宋体" w:hAnsi="宋体" w:eastAsia="宋体" w:cs="宋体"/>
          <w:color w:val="auto"/>
          <w:sz w:val="21"/>
          <w:szCs w:val="21"/>
          <w:highlight w:val="none"/>
          <w:lang w:val="en-US" w:eastAsia="zh-CN"/>
        </w:rPr>
        <w:t>的优先。</w:t>
      </w:r>
    </w:p>
    <w:p w14:paraId="5EDC247F">
      <w:pPr>
        <w:widowControl/>
        <w:numPr>
          <w:ilvl w:val="0"/>
          <w:numId w:val="0"/>
        </w:numPr>
        <w:spacing w:line="360" w:lineRule="auto"/>
        <w:ind w:firstLine="422" w:firstLineChars="200"/>
        <w:rPr>
          <w:rFonts w:hint="default" w:ascii="宋体" w:hAnsi="宋体" w:eastAsia="宋体" w:cs="Times New Roman"/>
          <w:b/>
          <w:bCs w:val="0"/>
          <w:color w:val="auto"/>
          <w:kern w:val="2"/>
          <w:sz w:val="21"/>
          <w:szCs w:val="21"/>
          <w:lang w:val="en-US" w:eastAsia="zh-CN" w:bidi="ar-SA"/>
        </w:rPr>
      </w:pPr>
      <w:r>
        <w:rPr>
          <w:rFonts w:hint="eastAsia" w:ascii="宋体" w:hAnsi="宋体"/>
          <w:b/>
          <w:bCs w:val="0"/>
          <w:color w:val="auto"/>
          <w:szCs w:val="21"/>
          <w:lang w:eastAsia="zh-CN"/>
        </w:rPr>
        <w:t>九、</w:t>
      </w:r>
      <w:r>
        <w:rPr>
          <w:rFonts w:hint="eastAsia" w:ascii="宋体" w:hAnsi="宋体"/>
          <w:b/>
          <w:bCs w:val="0"/>
          <w:color w:val="auto"/>
          <w:szCs w:val="21"/>
        </w:rPr>
        <w:t>其他要求</w:t>
      </w:r>
    </w:p>
    <w:p w14:paraId="1439E3C3">
      <w:pPr>
        <w:spacing w:line="540" w:lineRule="exact"/>
        <w:ind w:firstLine="420" w:firstLineChars="200"/>
        <w:rPr>
          <w:rFonts w:ascii="宋体" w:hAnsi="宋体"/>
          <w:color w:val="auto"/>
          <w:szCs w:val="21"/>
        </w:rPr>
      </w:pPr>
      <w:r>
        <w:rPr>
          <w:rFonts w:hint="eastAsia" w:ascii="宋体" w:hAnsi="宋体" w:eastAsia="宋体" w:cs="Times New Roman"/>
          <w:color w:val="auto"/>
          <w:szCs w:val="21"/>
          <w:lang w:val="en-US" w:eastAsia="zh-CN"/>
        </w:rPr>
        <w:t>1.</w:t>
      </w:r>
      <w:r>
        <w:rPr>
          <w:rFonts w:hint="eastAsia" w:ascii="宋体" w:hAnsi="宋体"/>
          <w:color w:val="auto"/>
          <w:szCs w:val="21"/>
        </w:rPr>
        <w:t>投标</w:t>
      </w:r>
      <w:r>
        <w:rPr>
          <w:rFonts w:hint="eastAsia" w:ascii="宋体" w:hAnsi="宋体"/>
          <w:color w:val="auto"/>
          <w:szCs w:val="21"/>
          <w:lang w:eastAsia="zh-CN"/>
        </w:rPr>
        <w:t>人</w:t>
      </w:r>
      <w:r>
        <w:rPr>
          <w:rFonts w:hint="eastAsia" w:ascii="宋体" w:hAnsi="宋体"/>
          <w:color w:val="auto"/>
          <w:szCs w:val="21"/>
        </w:rPr>
        <w:t>须按《劳动合同法》的有关规定与相关聘用人员签订劳动合同，办理相关保险，并及时发放员工工资。劳资纠纷及产生的后果由投标</w:t>
      </w:r>
      <w:r>
        <w:rPr>
          <w:rFonts w:hint="eastAsia" w:ascii="宋体" w:hAnsi="宋体"/>
          <w:color w:val="auto"/>
          <w:szCs w:val="21"/>
          <w:lang w:eastAsia="zh-CN"/>
        </w:rPr>
        <w:t>人</w:t>
      </w:r>
      <w:r>
        <w:rPr>
          <w:rFonts w:hint="eastAsia" w:ascii="宋体" w:hAnsi="宋体"/>
          <w:color w:val="auto"/>
          <w:szCs w:val="21"/>
        </w:rPr>
        <w:t>负责。</w:t>
      </w:r>
    </w:p>
    <w:p w14:paraId="61274A58">
      <w:pPr>
        <w:spacing w:line="540" w:lineRule="exact"/>
        <w:ind w:firstLine="420" w:firstLineChars="200"/>
        <w:rPr>
          <w:rFonts w:ascii="宋体" w:hAnsi="宋体"/>
          <w:color w:val="auto"/>
          <w:szCs w:val="21"/>
        </w:rPr>
      </w:pPr>
      <w:r>
        <w:rPr>
          <w:rFonts w:hint="eastAsia" w:ascii="宋体" w:hAnsi="宋体"/>
          <w:color w:val="auto"/>
          <w:szCs w:val="21"/>
          <w:lang w:val="en-US" w:eastAsia="zh-CN"/>
        </w:rPr>
        <w:t>2.</w:t>
      </w:r>
      <w:r>
        <w:rPr>
          <w:rFonts w:hint="eastAsia" w:ascii="宋体" w:hAnsi="宋体"/>
          <w:color w:val="auto"/>
          <w:szCs w:val="21"/>
        </w:rPr>
        <w:t>做好服务场所内和</w:t>
      </w:r>
      <w:r>
        <w:rPr>
          <w:rFonts w:hint="eastAsia" w:ascii="宋体" w:hAnsi="宋体"/>
          <w:color w:val="auto"/>
          <w:szCs w:val="21"/>
          <w:lang w:eastAsia="zh-CN"/>
        </w:rPr>
        <w:t>招标</w:t>
      </w:r>
      <w:r>
        <w:rPr>
          <w:rFonts w:hint="eastAsia" w:ascii="宋体" w:hAnsi="宋体"/>
          <w:color w:val="auto"/>
          <w:szCs w:val="21"/>
        </w:rPr>
        <w:t>人指定的与本项目有关公共场所的保洁、防火防盗、防恐、防食物中毒以及用电设备安全工作，签订安全责任状。对</w:t>
      </w:r>
      <w:r>
        <w:rPr>
          <w:rFonts w:hint="eastAsia" w:ascii="宋体" w:hAnsi="宋体"/>
          <w:color w:val="auto"/>
          <w:szCs w:val="21"/>
          <w:lang w:eastAsia="zh-CN"/>
        </w:rPr>
        <w:t>招标</w:t>
      </w:r>
      <w:r>
        <w:rPr>
          <w:rFonts w:hint="eastAsia" w:ascii="宋体" w:hAnsi="宋体"/>
          <w:color w:val="auto"/>
          <w:szCs w:val="21"/>
        </w:rPr>
        <w:t>人提供的房屋及其他设备未经</w:t>
      </w:r>
      <w:r>
        <w:rPr>
          <w:rFonts w:hint="eastAsia" w:ascii="宋体" w:hAnsi="宋体"/>
          <w:color w:val="auto"/>
          <w:szCs w:val="21"/>
          <w:lang w:eastAsia="zh-CN"/>
        </w:rPr>
        <w:t>招标</w:t>
      </w:r>
      <w:r>
        <w:rPr>
          <w:rFonts w:hint="eastAsia" w:ascii="宋体" w:hAnsi="宋体"/>
          <w:color w:val="auto"/>
          <w:szCs w:val="21"/>
        </w:rPr>
        <w:t>人同意不得擅自改造，爱护炉灶、冰箱与桌椅等设施设备，人为损坏或因使用不当造成损坏的，照价赔偿。</w:t>
      </w:r>
    </w:p>
    <w:p w14:paraId="4C1D75CA">
      <w:pPr>
        <w:spacing w:line="540" w:lineRule="exact"/>
        <w:ind w:firstLine="420" w:firstLineChars="200"/>
        <w:rPr>
          <w:rFonts w:ascii="宋体" w:hAnsi="宋体"/>
          <w:color w:val="auto"/>
          <w:szCs w:val="21"/>
        </w:rPr>
      </w:pPr>
      <w:r>
        <w:rPr>
          <w:rFonts w:hint="eastAsia" w:ascii="宋体" w:hAnsi="宋体"/>
          <w:color w:val="auto"/>
          <w:szCs w:val="21"/>
          <w:lang w:val="en-US" w:eastAsia="zh-CN"/>
        </w:rPr>
        <w:t>3.</w:t>
      </w:r>
      <w:r>
        <w:rPr>
          <w:rFonts w:hint="eastAsia" w:ascii="宋体" w:hAnsi="宋体"/>
          <w:color w:val="auto"/>
          <w:szCs w:val="21"/>
        </w:rPr>
        <w:t>履约保证金：</w:t>
      </w:r>
      <w:r>
        <w:rPr>
          <w:rFonts w:hint="eastAsia" w:ascii="宋体" w:hAnsi="宋体"/>
          <w:color w:val="auto"/>
          <w:szCs w:val="21"/>
          <w:lang w:eastAsia="zh-CN"/>
        </w:rPr>
        <w:t>投标人</w:t>
      </w:r>
      <w:r>
        <w:rPr>
          <w:rFonts w:hint="eastAsia" w:ascii="宋体" w:hAnsi="宋体"/>
          <w:color w:val="auto"/>
          <w:szCs w:val="21"/>
        </w:rPr>
        <w:t>与</w:t>
      </w:r>
      <w:r>
        <w:rPr>
          <w:rFonts w:hint="eastAsia" w:ascii="宋体" w:hAnsi="宋体"/>
          <w:color w:val="auto"/>
          <w:szCs w:val="21"/>
          <w:lang w:val="en-US" w:eastAsia="zh-CN"/>
        </w:rPr>
        <w:t>招标人</w:t>
      </w:r>
      <w:r>
        <w:rPr>
          <w:rFonts w:hint="eastAsia" w:ascii="宋体" w:hAnsi="宋体"/>
          <w:color w:val="auto"/>
          <w:szCs w:val="21"/>
        </w:rPr>
        <w:t>签订合同时需向</w:t>
      </w:r>
      <w:r>
        <w:rPr>
          <w:rFonts w:hint="eastAsia" w:ascii="宋体" w:hAnsi="宋体"/>
          <w:color w:val="auto"/>
          <w:szCs w:val="21"/>
          <w:lang w:val="en-US" w:eastAsia="zh-CN"/>
        </w:rPr>
        <w:t>采购人</w:t>
      </w:r>
      <w:r>
        <w:rPr>
          <w:rFonts w:hint="eastAsia" w:ascii="宋体" w:hAnsi="宋体"/>
          <w:color w:val="auto"/>
          <w:szCs w:val="21"/>
        </w:rPr>
        <w:t>缴纳履约保证金（</w:t>
      </w:r>
      <w:r>
        <w:rPr>
          <w:rFonts w:hint="eastAsia" w:ascii="宋体" w:hAnsi="宋体"/>
          <w:color w:val="auto"/>
          <w:szCs w:val="21"/>
          <w:lang w:val="en-US" w:eastAsia="zh-CN"/>
        </w:rPr>
        <w:t>合同金额的5</w:t>
      </w:r>
      <w:r>
        <w:rPr>
          <w:rFonts w:hint="eastAsia" w:ascii="宋体" w:hAnsi="宋体"/>
          <w:color w:val="auto"/>
          <w:szCs w:val="21"/>
        </w:rPr>
        <w:t>%）。在合同期限满后，根据合同履行和考核结果退还。</w:t>
      </w:r>
      <w:r>
        <w:rPr>
          <w:rFonts w:hint="eastAsia" w:ascii="宋体" w:hAnsi="宋体"/>
          <w:color w:val="auto"/>
          <w:szCs w:val="21"/>
          <w:lang w:eastAsia="zh-CN"/>
        </w:rPr>
        <w:t>投标人</w:t>
      </w:r>
      <w:r>
        <w:rPr>
          <w:rFonts w:hint="eastAsia" w:ascii="宋体" w:hAnsi="宋体"/>
          <w:color w:val="auto"/>
          <w:szCs w:val="21"/>
        </w:rPr>
        <w:t>在服务过程中必须服从</w:t>
      </w:r>
      <w:r>
        <w:rPr>
          <w:rFonts w:hint="eastAsia" w:ascii="宋体" w:hAnsi="宋体"/>
          <w:color w:val="auto"/>
          <w:szCs w:val="21"/>
          <w:lang w:eastAsia="zh-CN"/>
        </w:rPr>
        <w:t>招标</w:t>
      </w:r>
      <w:r>
        <w:rPr>
          <w:rFonts w:hint="eastAsia" w:ascii="宋体" w:hAnsi="宋体"/>
          <w:color w:val="auto"/>
          <w:szCs w:val="21"/>
        </w:rPr>
        <w:t>人管理人员的管理，必须确保人员安全、菜肴安全、财产安全等，否则均由</w:t>
      </w:r>
      <w:r>
        <w:rPr>
          <w:rFonts w:hint="eastAsia" w:ascii="宋体" w:hAnsi="宋体"/>
          <w:color w:val="auto"/>
          <w:szCs w:val="21"/>
          <w:lang w:eastAsia="zh-CN"/>
        </w:rPr>
        <w:t>投标人</w:t>
      </w:r>
      <w:r>
        <w:rPr>
          <w:rFonts w:hint="eastAsia" w:ascii="宋体" w:hAnsi="宋体"/>
          <w:color w:val="auto"/>
          <w:szCs w:val="21"/>
        </w:rPr>
        <w:t>负责处理并承担一切费用，</w:t>
      </w:r>
      <w:r>
        <w:rPr>
          <w:rFonts w:hint="eastAsia" w:ascii="宋体" w:hAnsi="宋体"/>
          <w:color w:val="auto"/>
          <w:szCs w:val="21"/>
          <w:lang w:eastAsia="zh-CN"/>
        </w:rPr>
        <w:t>招标</w:t>
      </w:r>
      <w:r>
        <w:rPr>
          <w:rFonts w:hint="eastAsia" w:ascii="宋体" w:hAnsi="宋体"/>
          <w:color w:val="auto"/>
          <w:szCs w:val="21"/>
        </w:rPr>
        <w:t>人不承担任何责任。</w:t>
      </w:r>
    </w:p>
    <w:p w14:paraId="5617E781">
      <w:pPr>
        <w:spacing w:line="540" w:lineRule="exact"/>
        <w:ind w:firstLine="420" w:firstLineChars="200"/>
        <w:rPr>
          <w:rFonts w:ascii="宋体" w:hAnsi="宋体"/>
          <w:color w:val="auto"/>
          <w:szCs w:val="21"/>
        </w:rPr>
      </w:pPr>
      <w:r>
        <w:rPr>
          <w:rFonts w:hint="eastAsia" w:ascii="宋体" w:hAnsi="宋体"/>
          <w:color w:val="auto"/>
          <w:szCs w:val="21"/>
          <w:lang w:val="en-US" w:eastAsia="zh-CN"/>
        </w:rPr>
        <w:t>4.</w:t>
      </w:r>
      <w:r>
        <w:rPr>
          <w:rFonts w:hint="eastAsia" w:ascii="宋体" w:hAnsi="宋体"/>
          <w:color w:val="auto"/>
          <w:szCs w:val="21"/>
          <w:lang w:eastAsia="zh-CN"/>
        </w:rPr>
        <w:t>投标人</w:t>
      </w:r>
      <w:r>
        <w:rPr>
          <w:rFonts w:hint="eastAsia" w:ascii="宋体" w:hAnsi="宋体" w:cs="宋体"/>
          <w:color w:val="auto"/>
          <w:szCs w:val="21"/>
        </w:rPr>
        <w:t>需独立完成本项目，不得将本项目整体或部分对外分包或转包。</w:t>
      </w:r>
      <w:r>
        <w:rPr>
          <w:rFonts w:hint="eastAsia" w:ascii="宋体" w:hAnsi="宋体"/>
          <w:color w:val="auto"/>
          <w:szCs w:val="21"/>
        </w:rPr>
        <w:t>如违约，</w:t>
      </w:r>
      <w:r>
        <w:rPr>
          <w:rFonts w:hint="eastAsia" w:ascii="宋体" w:hAnsi="宋体"/>
          <w:color w:val="auto"/>
          <w:szCs w:val="21"/>
          <w:lang w:eastAsia="zh-CN"/>
        </w:rPr>
        <w:t>招标</w:t>
      </w:r>
      <w:r>
        <w:rPr>
          <w:rFonts w:hint="eastAsia" w:ascii="宋体" w:hAnsi="宋体"/>
          <w:color w:val="auto"/>
          <w:szCs w:val="21"/>
        </w:rPr>
        <w:t>人有权终止合同，并没收履约保证金（约定性赔偿）。</w:t>
      </w:r>
    </w:p>
    <w:p w14:paraId="0223E6EB">
      <w:pPr>
        <w:autoSpaceDE w:val="0"/>
        <w:autoSpaceDN w:val="0"/>
        <w:adjustRightInd w:val="0"/>
        <w:spacing w:line="440" w:lineRule="exact"/>
        <w:ind w:firstLine="422" w:firstLineChars="200"/>
        <w:rPr>
          <w:rFonts w:hint="eastAsia" w:ascii="宋体" w:hAnsi="宋体" w:cs="宋体"/>
          <w:b/>
          <w:bCs/>
          <w:color w:val="auto"/>
          <w:szCs w:val="21"/>
        </w:rPr>
      </w:pPr>
      <w:r>
        <w:rPr>
          <w:rFonts w:hint="eastAsia" w:ascii="宋体" w:hAnsi="宋体"/>
          <w:b/>
          <w:bCs/>
          <w:color w:val="auto"/>
          <w:szCs w:val="21"/>
          <w:lang w:val="en-US" w:eastAsia="zh-CN"/>
        </w:rPr>
        <w:t>5.</w:t>
      </w:r>
      <w:r>
        <w:rPr>
          <w:rFonts w:hint="eastAsia" w:ascii="宋体" w:hAnsi="宋体" w:cs="宋体"/>
          <w:b/>
          <w:bCs/>
          <w:color w:val="auto"/>
          <w:szCs w:val="21"/>
          <w:lang w:eastAsia="zh-CN"/>
        </w:rPr>
        <w:t>招标</w:t>
      </w:r>
      <w:r>
        <w:rPr>
          <w:rFonts w:hint="eastAsia" w:ascii="宋体" w:hAnsi="宋体" w:cs="宋体"/>
          <w:b/>
          <w:bCs/>
          <w:color w:val="auto"/>
          <w:szCs w:val="21"/>
        </w:rPr>
        <w:t>人对投标</w:t>
      </w:r>
      <w:r>
        <w:rPr>
          <w:rFonts w:hint="eastAsia" w:ascii="宋体" w:hAnsi="宋体"/>
          <w:b/>
          <w:bCs/>
          <w:color w:val="auto"/>
          <w:szCs w:val="21"/>
          <w:lang w:eastAsia="zh-CN"/>
        </w:rPr>
        <w:t>人</w:t>
      </w:r>
      <w:r>
        <w:rPr>
          <w:rFonts w:hint="eastAsia" w:ascii="宋体" w:hAnsi="宋体" w:cs="宋体"/>
          <w:b/>
          <w:bCs/>
          <w:color w:val="auto"/>
          <w:szCs w:val="21"/>
        </w:rPr>
        <w:t>管理进行全方位考核，并进行满意度测评，考核总分需达到90分以上、满意度应达到80%以上（详见附件  食堂工作月度考核表）。</w:t>
      </w:r>
    </w:p>
    <w:tbl>
      <w:tblPr>
        <w:tblStyle w:val="9"/>
        <w:tblW w:w="9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1100"/>
        <w:gridCol w:w="5025"/>
        <w:gridCol w:w="887"/>
        <w:gridCol w:w="738"/>
        <w:gridCol w:w="787"/>
      </w:tblGrid>
      <w:tr w14:paraId="6FB1C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9304" w:type="dxa"/>
            <w:gridSpan w:val="6"/>
            <w:noWrap w:val="0"/>
            <w:vAlign w:val="center"/>
          </w:tcPr>
          <w:p w14:paraId="710CA984">
            <w:pPr>
              <w:widowControl/>
              <w:jc w:val="center"/>
              <w:rPr>
                <w:rFonts w:ascii="宋体" w:hAnsi="宋体" w:cs="宋体"/>
                <w:b/>
                <w:bCs/>
                <w:color w:val="auto"/>
                <w:kern w:val="0"/>
              </w:rPr>
            </w:pPr>
            <w:r>
              <w:rPr>
                <w:rFonts w:hint="eastAsia" w:ascii="宋体" w:hAnsi="宋体" w:cs="宋体"/>
                <w:b/>
                <w:bCs/>
                <w:color w:val="auto"/>
                <w:kern w:val="0"/>
              </w:rPr>
              <w:t xml:space="preserve">          食堂工作月度考核表          年 月  日 </w:t>
            </w:r>
          </w:p>
        </w:tc>
      </w:tr>
      <w:tr w14:paraId="6FB5C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767" w:type="dxa"/>
            <w:shd w:val="clear" w:color="auto" w:fill="auto"/>
            <w:noWrap w:val="0"/>
            <w:vAlign w:val="center"/>
          </w:tcPr>
          <w:p w14:paraId="71BBE6A8">
            <w:pPr>
              <w:widowControl/>
              <w:jc w:val="center"/>
              <w:rPr>
                <w:rFonts w:ascii="宋体" w:hAnsi="宋体" w:cs="宋体"/>
                <w:b/>
                <w:bCs/>
                <w:color w:val="auto"/>
                <w:kern w:val="0"/>
              </w:rPr>
            </w:pPr>
            <w:r>
              <w:rPr>
                <w:rFonts w:hint="eastAsia" w:ascii="宋体" w:hAnsi="宋体" w:cs="宋体"/>
                <w:b/>
                <w:bCs/>
                <w:color w:val="auto"/>
                <w:kern w:val="0"/>
              </w:rPr>
              <w:t>序号</w:t>
            </w:r>
          </w:p>
        </w:tc>
        <w:tc>
          <w:tcPr>
            <w:tcW w:w="1100" w:type="dxa"/>
            <w:shd w:val="clear" w:color="auto" w:fill="auto"/>
            <w:noWrap w:val="0"/>
            <w:vAlign w:val="center"/>
          </w:tcPr>
          <w:p w14:paraId="174BEFDE">
            <w:pPr>
              <w:widowControl/>
              <w:jc w:val="center"/>
              <w:rPr>
                <w:rFonts w:ascii="宋体" w:hAnsi="宋体" w:cs="宋体"/>
                <w:b/>
                <w:bCs/>
                <w:color w:val="auto"/>
                <w:kern w:val="0"/>
              </w:rPr>
            </w:pPr>
            <w:r>
              <w:rPr>
                <w:rFonts w:hint="eastAsia" w:ascii="宋体" w:hAnsi="宋体" w:cs="宋体"/>
                <w:b/>
                <w:bCs/>
                <w:color w:val="auto"/>
                <w:kern w:val="0"/>
              </w:rPr>
              <w:t>考核项目</w:t>
            </w:r>
          </w:p>
        </w:tc>
        <w:tc>
          <w:tcPr>
            <w:tcW w:w="5025" w:type="dxa"/>
            <w:shd w:val="clear" w:color="000000" w:fill="FFFFFF"/>
            <w:noWrap w:val="0"/>
            <w:vAlign w:val="center"/>
          </w:tcPr>
          <w:p w14:paraId="22F1A002">
            <w:pPr>
              <w:widowControl/>
              <w:jc w:val="center"/>
              <w:rPr>
                <w:rFonts w:ascii="宋体" w:hAnsi="宋体" w:cs="宋体"/>
                <w:b/>
                <w:bCs/>
                <w:color w:val="auto"/>
                <w:kern w:val="0"/>
              </w:rPr>
            </w:pPr>
            <w:r>
              <w:rPr>
                <w:rFonts w:hint="eastAsia" w:ascii="宋体" w:hAnsi="宋体" w:cs="宋体"/>
                <w:b/>
                <w:bCs/>
                <w:color w:val="auto"/>
                <w:kern w:val="0"/>
              </w:rPr>
              <w:t>考  核  内  容</w:t>
            </w:r>
          </w:p>
        </w:tc>
        <w:tc>
          <w:tcPr>
            <w:tcW w:w="887" w:type="dxa"/>
            <w:shd w:val="clear" w:color="000000" w:fill="FFFFFF"/>
            <w:noWrap w:val="0"/>
            <w:vAlign w:val="center"/>
          </w:tcPr>
          <w:p w14:paraId="47D94707">
            <w:pPr>
              <w:widowControl/>
              <w:jc w:val="center"/>
              <w:rPr>
                <w:rFonts w:ascii="宋体" w:hAnsi="宋体" w:cs="宋体"/>
                <w:b/>
                <w:bCs/>
                <w:color w:val="auto"/>
                <w:kern w:val="0"/>
              </w:rPr>
            </w:pPr>
            <w:r>
              <w:rPr>
                <w:rFonts w:hint="eastAsia" w:ascii="宋体" w:hAnsi="宋体" w:cs="宋体"/>
                <w:b/>
                <w:bCs/>
                <w:color w:val="auto"/>
                <w:kern w:val="0"/>
              </w:rPr>
              <w:t>标准分</w:t>
            </w:r>
          </w:p>
        </w:tc>
        <w:tc>
          <w:tcPr>
            <w:tcW w:w="738" w:type="dxa"/>
            <w:noWrap w:val="0"/>
            <w:vAlign w:val="center"/>
          </w:tcPr>
          <w:p w14:paraId="7DAF20A3">
            <w:pPr>
              <w:widowControl/>
              <w:jc w:val="center"/>
              <w:rPr>
                <w:rFonts w:ascii="宋体" w:hAnsi="宋体" w:cs="宋体"/>
                <w:b/>
                <w:bCs/>
                <w:color w:val="auto"/>
                <w:kern w:val="0"/>
              </w:rPr>
            </w:pPr>
            <w:r>
              <w:rPr>
                <w:rFonts w:hint="eastAsia" w:ascii="宋体" w:hAnsi="宋体" w:cs="宋体"/>
                <w:b/>
                <w:bCs/>
                <w:color w:val="auto"/>
                <w:kern w:val="0"/>
              </w:rPr>
              <w:t>考核</w:t>
            </w:r>
          </w:p>
          <w:p w14:paraId="2D6A8CB6">
            <w:pPr>
              <w:widowControl/>
              <w:jc w:val="center"/>
              <w:rPr>
                <w:rFonts w:ascii="宋体" w:hAnsi="宋体" w:cs="宋体"/>
                <w:b/>
                <w:bCs/>
                <w:color w:val="auto"/>
                <w:kern w:val="0"/>
              </w:rPr>
            </w:pPr>
            <w:r>
              <w:rPr>
                <w:rFonts w:hint="eastAsia" w:ascii="宋体" w:hAnsi="宋体" w:cs="宋体"/>
                <w:b/>
                <w:bCs/>
                <w:color w:val="auto"/>
                <w:kern w:val="0"/>
              </w:rPr>
              <w:t>得分</w:t>
            </w:r>
          </w:p>
        </w:tc>
        <w:tc>
          <w:tcPr>
            <w:tcW w:w="787" w:type="dxa"/>
            <w:noWrap w:val="0"/>
            <w:vAlign w:val="center"/>
          </w:tcPr>
          <w:p w14:paraId="7CAA5640">
            <w:pPr>
              <w:widowControl/>
              <w:jc w:val="center"/>
              <w:rPr>
                <w:rFonts w:ascii="宋体" w:hAnsi="宋体" w:cs="宋体"/>
                <w:b/>
                <w:bCs/>
                <w:color w:val="auto"/>
                <w:kern w:val="0"/>
              </w:rPr>
            </w:pPr>
            <w:r>
              <w:rPr>
                <w:rFonts w:hint="eastAsia" w:ascii="宋体" w:hAnsi="宋体" w:cs="宋体"/>
                <w:b/>
                <w:bCs/>
                <w:color w:val="auto"/>
                <w:kern w:val="0"/>
              </w:rPr>
              <w:t>备注说明</w:t>
            </w:r>
          </w:p>
        </w:tc>
      </w:tr>
      <w:tr w14:paraId="735D6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767" w:type="dxa"/>
            <w:shd w:val="clear" w:color="auto" w:fill="auto"/>
            <w:noWrap w:val="0"/>
            <w:vAlign w:val="center"/>
          </w:tcPr>
          <w:p w14:paraId="104727BA">
            <w:pPr>
              <w:widowControl/>
              <w:jc w:val="center"/>
              <w:rPr>
                <w:rFonts w:ascii="宋体" w:hAnsi="宋体" w:cs="宋体"/>
                <w:color w:val="auto"/>
                <w:kern w:val="0"/>
              </w:rPr>
            </w:pPr>
            <w:r>
              <w:rPr>
                <w:rFonts w:hint="eastAsia" w:ascii="宋体" w:hAnsi="宋体" w:cs="宋体"/>
                <w:color w:val="auto"/>
                <w:kern w:val="0"/>
              </w:rPr>
              <w:t>1</w:t>
            </w:r>
          </w:p>
        </w:tc>
        <w:tc>
          <w:tcPr>
            <w:tcW w:w="1100" w:type="dxa"/>
            <w:shd w:val="clear" w:color="auto" w:fill="auto"/>
            <w:noWrap w:val="0"/>
            <w:vAlign w:val="center"/>
          </w:tcPr>
          <w:p w14:paraId="29DBF77B">
            <w:pPr>
              <w:widowControl/>
              <w:jc w:val="center"/>
              <w:rPr>
                <w:rFonts w:ascii="宋体" w:hAnsi="宋体" w:cs="宋体"/>
                <w:color w:val="auto"/>
                <w:kern w:val="0"/>
              </w:rPr>
            </w:pPr>
            <w:r>
              <w:rPr>
                <w:rFonts w:hint="eastAsia" w:ascii="宋体" w:hAnsi="宋体" w:cs="宋体"/>
                <w:color w:val="auto"/>
                <w:kern w:val="0"/>
              </w:rPr>
              <w:t>劳动纪律</w:t>
            </w:r>
          </w:p>
        </w:tc>
        <w:tc>
          <w:tcPr>
            <w:tcW w:w="5025" w:type="dxa"/>
            <w:shd w:val="clear" w:color="000000" w:fill="FFFFFF"/>
            <w:noWrap w:val="0"/>
            <w:vAlign w:val="center"/>
          </w:tcPr>
          <w:p w14:paraId="5A9845E2">
            <w:pPr>
              <w:widowControl/>
              <w:jc w:val="left"/>
              <w:rPr>
                <w:rFonts w:ascii="宋体" w:hAnsi="宋体" w:cs="宋体"/>
                <w:color w:val="auto"/>
                <w:kern w:val="0"/>
              </w:rPr>
            </w:pPr>
            <w:r>
              <w:rPr>
                <w:rFonts w:hint="eastAsia" w:ascii="宋体" w:hAnsi="宋体" w:cs="宋体"/>
                <w:color w:val="auto"/>
                <w:kern w:val="0"/>
              </w:rPr>
              <w:t>严格按照食堂管理制度，按时上下班，当日工作当日完成，上班时间严禁做与本职工作无关事项，每违反一次扣0.5分。</w:t>
            </w:r>
          </w:p>
        </w:tc>
        <w:tc>
          <w:tcPr>
            <w:tcW w:w="887" w:type="dxa"/>
            <w:shd w:val="clear" w:color="000000" w:fill="FFFFFF"/>
            <w:noWrap w:val="0"/>
            <w:vAlign w:val="center"/>
          </w:tcPr>
          <w:p w14:paraId="063A6599">
            <w:pPr>
              <w:widowControl/>
              <w:jc w:val="center"/>
              <w:rPr>
                <w:rFonts w:ascii="宋体" w:hAnsi="宋体" w:cs="宋体"/>
                <w:color w:val="auto"/>
                <w:kern w:val="0"/>
              </w:rPr>
            </w:pPr>
            <w:r>
              <w:rPr>
                <w:rFonts w:hint="eastAsia" w:ascii="宋体" w:hAnsi="宋体" w:cs="宋体"/>
                <w:color w:val="auto"/>
                <w:kern w:val="0"/>
              </w:rPr>
              <w:t>5</w:t>
            </w:r>
          </w:p>
        </w:tc>
        <w:tc>
          <w:tcPr>
            <w:tcW w:w="738" w:type="dxa"/>
            <w:noWrap w:val="0"/>
            <w:vAlign w:val="center"/>
          </w:tcPr>
          <w:p w14:paraId="1D3C303E">
            <w:pPr>
              <w:widowControl/>
              <w:jc w:val="center"/>
              <w:rPr>
                <w:rFonts w:ascii="宋体" w:hAnsi="宋体" w:cs="宋体"/>
                <w:color w:val="auto"/>
                <w:kern w:val="0"/>
              </w:rPr>
            </w:pPr>
            <w:r>
              <w:rPr>
                <w:rFonts w:hint="eastAsia" w:ascii="宋体" w:hAnsi="宋体" w:cs="宋体"/>
                <w:color w:val="auto"/>
                <w:kern w:val="0"/>
              </w:rPr>
              <w:t>　</w:t>
            </w:r>
          </w:p>
        </w:tc>
        <w:tc>
          <w:tcPr>
            <w:tcW w:w="787" w:type="dxa"/>
            <w:noWrap w:val="0"/>
            <w:vAlign w:val="center"/>
          </w:tcPr>
          <w:p w14:paraId="5EE7C263">
            <w:pPr>
              <w:widowControl/>
              <w:jc w:val="left"/>
              <w:rPr>
                <w:rFonts w:ascii="宋体" w:hAnsi="宋体" w:cs="宋体"/>
                <w:color w:val="auto"/>
                <w:kern w:val="0"/>
              </w:rPr>
            </w:pPr>
            <w:r>
              <w:rPr>
                <w:rFonts w:hint="eastAsia" w:ascii="宋体" w:hAnsi="宋体" w:cs="宋体"/>
                <w:color w:val="auto"/>
                <w:kern w:val="0"/>
              </w:rPr>
              <w:t>　</w:t>
            </w:r>
          </w:p>
        </w:tc>
      </w:tr>
      <w:tr w14:paraId="636C2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67" w:type="dxa"/>
            <w:shd w:val="clear" w:color="auto" w:fill="auto"/>
            <w:noWrap w:val="0"/>
            <w:vAlign w:val="center"/>
          </w:tcPr>
          <w:p w14:paraId="72CDAD26">
            <w:pPr>
              <w:widowControl/>
              <w:jc w:val="center"/>
              <w:rPr>
                <w:rFonts w:ascii="宋体" w:hAnsi="宋体" w:cs="宋体"/>
                <w:color w:val="auto"/>
                <w:kern w:val="0"/>
              </w:rPr>
            </w:pPr>
            <w:r>
              <w:rPr>
                <w:rFonts w:hint="eastAsia" w:ascii="宋体" w:hAnsi="宋体" w:cs="宋体"/>
                <w:color w:val="auto"/>
                <w:kern w:val="0"/>
              </w:rPr>
              <w:t>2</w:t>
            </w:r>
          </w:p>
        </w:tc>
        <w:tc>
          <w:tcPr>
            <w:tcW w:w="1100" w:type="dxa"/>
            <w:shd w:val="clear" w:color="auto" w:fill="auto"/>
            <w:noWrap w:val="0"/>
            <w:vAlign w:val="center"/>
          </w:tcPr>
          <w:p w14:paraId="20D55D68">
            <w:pPr>
              <w:widowControl/>
              <w:jc w:val="center"/>
              <w:rPr>
                <w:rFonts w:ascii="宋体" w:hAnsi="宋体" w:cs="宋体"/>
                <w:color w:val="auto"/>
                <w:kern w:val="0"/>
              </w:rPr>
            </w:pPr>
            <w:r>
              <w:rPr>
                <w:rFonts w:hint="eastAsia" w:ascii="宋体" w:hAnsi="宋体" w:cs="宋体"/>
                <w:color w:val="auto"/>
                <w:kern w:val="0"/>
              </w:rPr>
              <w:t>区域卫生</w:t>
            </w:r>
          </w:p>
        </w:tc>
        <w:tc>
          <w:tcPr>
            <w:tcW w:w="5025" w:type="dxa"/>
            <w:shd w:val="clear" w:color="000000" w:fill="FFFFFF"/>
            <w:noWrap w:val="0"/>
            <w:vAlign w:val="center"/>
          </w:tcPr>
          <w:p w14:paraId="0AC670AD">
            <w:pPr>
              <w:widowControl/>
              <w:jc w:val="left"/>
              <w:rPr>
                <w:rFonts w:ascii="宋体" w:hAnsi="宋体" w:cs="宋体"/>
                <w:color w:val="auto"/>
                <w:kern w:val="0"/>
              </w:rPr>
            </w:pPr>
            <w:r>
              <w:rPr>
                <w:rFonts w:hint="eastAsia" w:ascii="宋体" w:hAnsi="宋体" w:cs="宋体"/>
                <w:color w:val="auto"/>
                <w:kern w:val="0"/>
              </w:rPr>
              <w:t>所负责区域的卫生要时刻做到干净、整洁，设备设施要摆放到固定位置，未按要求达标者每次扣0.5分</w:t>
            </w:r>
          </w:p>
        </w:tc>
        <w:tc>
          <w:tcPr>
            <w:tcW w:w="887" w:type="dxa"/>
            <w:shd w:val="clear" w:color="000000" w:fill="FFFFFF"/>
            <w:noWrap w:val="0"/>
            <w:vAlign w:val="center"/>
          </w:tcPr>
          <w:p w14:paraId="056FCBE9">
            <w:pPr>
              <w:widowControl/>
              <w:jc w:val="center"/>
              <w:rPr>
                <w:rFonts w:ascii="宋体" w:hAnsi="宋体" w:cs="宋体"/>
                <w:color w:val="auto"/>
                <w:kern w:val="0"/>
              </w:rPr>
            </w:pPr>
            <w:r>
              <w:rPr>
                <w:rFonts w:hint="eastAsia" w:ascii="宋体" w:hAnsi="宋体" w:cs="宋体"/>
                <w:color w:val="auto"/>
                <w:kern w:val="0"/>
              </w:rPr>
              <w:t>5</w:t>
            </w:r>
          </w:p>
        </w:tc>
        <w:tc>
          <w:tcPr>
            <w:tcW w:w="738" w:type="dxa"/>
            <w:noWrap w:val="0"/>
            <w:vAlign w:val="center"/>
          </w:tcPr>
          <w:p w14:paraId="56D07B29">
            <w:pPr>
              <w:widowControl/>
              <w:jc w:val="center"/>
              <w:rPr>
                <w:rFonts w:ascii="宋体" w:hAnsi="宋体" w:cs="宋体"/>
                <w:color w:val="auto"/>
                <w:kern w:val="0"/>
              </w:rPr>
            </w:pPr>
            <w:r>
              <w:rPr>
                <w:rFonts w:hint="eastAsia" w:ascii="宋体" w:hAnsi="宋体" w:cs="宋体"/>
                <w:color w:val="auto"/>
                <w:kern w:val="0"/>
              </w:rPr>
              <w:t>　</w:t>
            </w:r>
          </w:p>
        </w:tc>
        <w:tc>
          <w:tcPr>
            <w:tcW w:w="787" w:type="dxa"/>
            <w:noWrap w:val="0"/>
            <w:vAlign w:val="center"/>
          </w:tcPr>
          <w:p w14:paraId="65546C28">
            <w:pPr>
              <w:widowControl/>
              <w:jc w:val="left"/>
              <w:rPr>
                <w:rFonts w:ascii="宋体" w:hAnsi="宋体" w:cs="宋体"/>
                <w:color w:val="auto"/>
                <w:kern w:val="0"/>
              </w:rPr>
            </w:pPr>
            <w:r>
              <w:rPr>
                <w:rFonts w:hint="eastAsia" w:ascii="宋体" w:hAnsi="宋体" w:cs="宋体"/>
                <w:color w:val="auto"/>
                <w:kern w:val="0"/>
              </w:rPr>
              <w:t>　</w:t>
            </w:r>
          </w:p>
        </w:tc>
      </w:tr>
      <w:tr w14:paraId="64C81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767" w:type="dxa"/>
            <w:shd w:val="clear" w:color="auto" w:fill="auto"/>
            <w:noWrap w:val="0"/>
            <w:vAlign w:val="center"/>
          </w:tcPr>
          <w:p w14:paraId="119ED422">
            <w:pPr>
              <w:widowControl/>
              <w:jc w:val="center"/>
              <w:rPr>
                <w:rFonts w:ascii="宋体" w:hAnsi="宋体" w:cs="宋体"/>
                <w:color w:val="auto"/>
                <w:kern w:val="0"/>
              </w:rPr>
            </w:pPr>
            <w:r>
              <w:rPr>
                <w:rFonts w:hint="eastAsia" w:ascii="宋体" w:hAnsi="宋体" w:cs="宋体"/>
                <w:color w:val="auto"/>
                <w:kern w:val="0"/>
              </w:rPr>
              <w:t>3</w:t>
            </w:r>
          </w:p>
        </w:tc>
        <w:tc>
          <w:tcPr>
            <w:tcW w:w="1100" w:type="dxa"/>
            <w:shd w:val="clear" w:color="auto" w:fill="auto"/>
            <w:noWrap w:val="0"/>
            <w:vAlign w:val="center"/>
          </w:tcPr>
          <w:p w14:paraId="2198F356">
            <w:pPr>
              <w:widowControl/>
              <w:jc w:val="center"/>
              <w:rPr>
                <w:rFonts w:ascii="宋体" w:hAnsi="宋体" w:cs="宋体"/>
                <w:color w:val="auto"/>
                <w:kern w:val="0"/>
              </w:rPr>
            </w:pPr>
            <w:r>
              <w:rPr>
                <w:rFonts w:hint="eastAsia" w:ascii="宋体" w:hAnsi="宋体" w:cs="宋体"/>
                <w:color w:val="auto"/>
                <w:kern w:val="0"/>
              </w:rPr>
              <w:t>工作态度</w:t>
            </w:r>
          </w:p>
        </w:tc>
        <w:tc>
          <w:tcPr>
            <w:tcW w:w="5025" w:type="dxa"/>
            <w:shd w:val="clear" w:color="000000" w:fill="FFFFFF"/>
            <w:noWrap w:val="0"/>
            <w:vAlign w:val="center"/>
          </w:tcPr>
          <w:p w14:paraId="02E3D31A">
            <w:pPr>
              <w:widowControl/>
              <w:jc w:val="left"/>
              <w:rPr>
                <w:rFonts w:ascii="宋体" w:hAnsi="宋体" w:cs="宋体"/>
                <w:color w:val="auto"/>
                <w:kern w:val="0"/>
              </w:rPr>
            </w:pPr>
            <w:r>
              <w:rPr>
                <w:rFonts w:hint="eastAsia" w:ascii="宋体" w:hAnsi="宋体" w:cs="宋体"/>
                <w:color w:val="auto"/>
                <w:kern w:val="0"/>
              </w:rPr>
              <w:t>包含：服务态度，工作表现及团体合作，应做到礼貌、勤勉、积极主动、认真负责，未按要求达标者每次扣0.5分,被服务对象投诉的，每次扣2分</w:t>
            </w:r>
          </w:p>
        </w:tc>
        <w:tc>
          <w:tcPr>
            <w:tcW w:w="887" w:type="dxa"/>
            <w:shd w:val="clear" w:color="000000" w:fill="FFFFFF"/>
            <w:noWrap w:val="0"/>
            <w:vAlign w:val="center"/>
          </w:tcPr>
          <w:p w14:paraId="308D48C7">
            <w:pPr>
              <w:widowControl/>
              <w:jc w:val="center"/>
              <w:rPr>
                <w:rFonts w:ascii="宋体" w:hAnsi="宋体" w:cs="宋体"/>
                <w:color w:val="auto"/>
                <w:kern w:val="0"/>
              </w:rPr>
            </w:pPr>
            <w:r>
              <w:rPr>
                <w:rFonts w:hint="eastAsia" w:ascii="宋体" w:hAnsi="宋体" w:cs="宋体"/>
                <w:color w:val="auto"/>
                <w:kern w:val="0"/>
              </w:rPr>
              <w:t>5</w:t>
            </w:r>
          </w:p>
        </w:tc>
        <w:tc>
          <w:tcPr>
            <w:tcW w:w="738" w:type="dxa"/>
            <w:noWrap w:val="0"/>
            <w:vAlign w:val="center"/>
          </w:tcPr>
          <w:p w14:paraId="17500A32">
            <w:pPr>
              <w:widowControl/>
              <w:jc w:val="center"/>
              <w:rPr>
                <w:rFonts w:ascii="宋体" w:hAnsi="宋体" w:cs="宋体"/>
                <w:color w:val="auto"/>
                <w:kern w:val="0"/>
              </w:rPr>
            </w:pPr>
            <w:r>
              <w:rPr>
                <w:rFonts w:hint="eastAsia" w:ascii="宋体" w:hAnsi="宋体" w:cs="宋体"/>
                <w:color w:val="auto"/>
                <w:kern w:val="0"/>
              </w:rPr>
              <w:t>　</w:t>
            </w:r>
          </w:p>
        </w:tc>
        <w:tc>
          <w:tcPr>
            <w:tcW w:w="787" w:type="dxa"/>
            <w:noWrap w:val="0"/>
            <w:vAlign w:val="center"/>
          </w:tcPr>
          <w:p w14:paraId="3E1B3425">
            <w:pPr>
              <w:widowControl/>
              <w:jc w:val="left"/>
              <w:rPr>
                <w:rFonts w:ascii="宋体" w:hAnsi="宋体" w:cs="宋体"/>
                <w:color w:val="auto"/>
                <w:kern w:val="0"/>
              </w:rPr>
            </w:pPr>
            <w:r>
              <w:rPr>
                <w:rFonts w:hint="eastAsia" w:ascii="宋体" w:hAnsi="宋体" w:cs="宋体"/>
                <w:color w:val="auto"/>
                <w:kern w:val="0"/>
              </w:rPr>
              <w:t>　</w:t>
            </w:r>
          </w:p>
        </w:tc>
      </w:tr>
      <w:tr w14:paraId="2E25E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67" w:type="dxa"/>
            <w:shd w:val="clear" w:color="auto" w:fill="auto"/>
            <w:noWrap w:val="0"/>
            <w:vAlign w:val="center"/>
          </w:tcPr>
          <w:p w14:paraId="7E7A71DF">
            <w:pPr>
              <w:widowControl/>
              <w:jc w:val="center"/>
              <w:rPr>
                <w:rFonts w:ascii="宋体" w:hAnsi="宋体" w:cs="宋体"/>
                <w:color w:val="auto"/>
                <w:kern w:val="0"/>
              </w:rPr>
            </w:pPr>
            <w:r>
              <w:rPr>
                <w:rFonts w:hint="eastAsia" w:ascii="宋体" w:hAnsi="宋体" w:cs="宋体"/>
                <w:color w:val="auto"/>
                <w:kern w:val="0"/>
              </w:rPr>
              <w:t>4</w:t>
            </w:r>
          </w:p>
        </w:tc>
        <w:tc>
          <w:tcPr>
            <w:tcW w:w="1100" w:type="dxa"/>
            <w:shd w:val="clear" w:color="auto" w:fill="auto"/>
            <w:noWrap w:val="0"/>
            <w:vAlign w:val="center"/>
          </w:tcPr>
          <w:p w14:paraId="6A2DA285">
            <w:pPr>
              <w:widowControl/>
              <w:jc w:val="center"/>
              <w:rPr>
                <w:rFonts w:ascii="宋体" w:hAnsi="宋体" w:cs="宋体"/>
                <w:color w:val="auto"/>
                <w:kern w:val="0"/>
              </w:rPr>
            </w:pPr>
            <w:r>
              <w:rPr>
                <w:rFonts w:hint="eastAsia" w:ascii="宋体" w:hAnsi="宋体" w:cs="宋体"/>
                <w:color w:val="auto"/>
                <w:kern w:val="0"/>
              </w:rPr>
              <w:t>执行力</w:t>
            </w:r>
          </w:p>
        </w:tc>
        <w:tc>
          <w:tcPr>
            <w:tcW w:w="5025" w:type="dxa"/>
            <w:shd w:val="clear" w:color="000000" w:fill="FFFFFF"/>
            <w:noWrap w:val="0"/>
            <w:vAlign w:val="center"/>
          </w:tcPr>
          <w:p w14:paraId="39767486">
            <w:pPr>
              <w:widowControl/>
              <w:jc w:val="left"/>
              <w:rPr>
                <w:rFonts w:ascii="宋体" w:hAnsi="宋体" w:cs="宋体"/>
                <w:color w:val="auto"/>
                <w:kern w:val="0"/>
              </w:rPr>
            </w:pPr>
            <w:r>
              <w:rPr>
                <w:rFonts w:hint="eastAsia" w:ascii="宋体" w:hAnsi="宋体" w:cs="宋体"/>
                <w:color w:val="auto"/>
                <w:kern w:val="0"/>
              </w:rPr>
              <w:t>上级工作安排，不得推诿或拒绝执行，未按要求完成，每违反一次扣0.5分，拒绝执行扣5分</w:t>
            </w:r>
          </w:p>
        </w:tc>
        <w:tc>
          <w:tcPr>
            <w:tcW w:w="887" w:type="dxa"/>
            <w:shd w:val="clear" w:color="000000" w:fill="FFFFFF"/>
            <w:noWrap w:val="0"/>
            <w:vAlign w:val="center"/>
          </w:tcPr>
          <w:p w14:paraId="151B6094">
            <w:pPr>
              <w:widowControl/>
              <w:jc w:val="center"/>
              <w:rPr>
                <w:rFonts w:ascii="宋体" w:hAnsi="宋体" w:cs="宋体"/>
                <w:color w:val="auto"/>
                <w:kern w:val="0"/>
              </w:rPr>
            </w:pPr>
            <w:r>
              <w:rPr>
                <w:rFonts w:hint="eastAsia" w:ascii="宋体" w:hAnsi="宋体" w:cs="宋体"/>
                <w:color w:val="auto"/>
                <w:kern w:val="0"/>
              </w:rPr>
              <w:t>5</w:t>
            </w:r>
          </w:p>
        </w:tc>
        <w:tc>
          <w:tcPr>
            <w:tcW w:w="738" w:type="dxa"/>
            <w:noWrap w:val="0"/>
            <w:vAlign w:val="center"/>
          </w:tcPr>
          <w:p w14:paraId="5CE54586">
            <w:pPr>
              <w:widowControl/>
              <w:jc w:val="center"/>
              <w:rPr>
                <w:rFonts w:ascii="宋体" w:hAnsi="宋体" w:cs="宋体"/>
                <w:color w:val="auto"/>
                <w:kern w:val="0"/>
              </w:rPr>
            </w:pPr>
            <w:r>
              <w:rPr>
                <w:rFonts w:hint="eastAsia" w:ascii="宋体" w:hAnsi="宋体" w:cs="宋体"/>
                <w:color w:val="auto"/>
                <w:kern w:val="0"/>
              </w:rPr>
              <w:t>　</w:t>
            </w:r>
          </w:p>
        </w:tc>
        <w:tc>
          <w:tcPr>
            <w:tcW w:w="787" w:type="dxa"/>
            <w:noWrap w:val="0"/>
            <w:vAlign w:val="center"/>
          </w:tcPr>
          <w:p w14:paraId="42208564">
            <w:pPr>
              <w:widowControl/>
              <w:jc w:val="left"/>
              <w:rPr>
                <w:rFonts w:ascii="宋体" w:hAnsi="宋体" w:cs="宋体"/>
                <w:color w:val="auto"/>
                <w:kern w:val="0"/>
              </w:rPr>
            </w:pPr>
            <w:r>
              <w:rPr>
                <w:rFonts w:hint="eastAsia" w:ascii="宋体" w:hAnsi="宋体" w:cs="宋体"/>
                <w:color w:val="auto"/>
                <w:kern w:val="0"/>
              </w:rPr>
              <w:t>　</w:t>
            </w:r>
          </w:p>
        </w:tc>
      </w:tr>
      <w:tr w14:paraId="6AAAC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67" w:type="dxa"/>
            <w:shd w:val="clear" w:color="auto" w:fill="auto"/>
            <w:noWrap w:val="0"/>
            <w:vAlign w:val="center"/>
          </w:tcPr>
          <w:p w14:paraId="025FE392">
            <w:pPr>
              <w:widowControl/>
              <w:jc w:val="center"/>
              <w:rPr>
                <w:rFonts w:ascii="宋体" w:hAnsi="宋体" w:cs="宋体"/>
                <w:color w:val="auto"/>
                <w:kern w:val="0"/>
              </w:rPr>
            </w:pPr>
            <w:r>
              <w:rPr>
                <w:rFonts w:hint="eastAsia" w:ascii="宋体" w:hAnsi="宋体" w:cs="宋体"/>
                <w:color w:val="auto"/>
                <w:kern w:val="0"/>
              </w:rPr>
              <w:t>5</w:t>
            </w:r>
          </w:p>
        </w:tc>
        <w:tc>
          <w:tcPr>
            <w:tcW w:w="1100" w:type="dxa"/>
            <w:shd w:val="clear" w:color="auto" w:fill="auto"/>
            <w:noWrap w:val="0"/>
            <w:vAlign w:val="center"/>
          </w:tcPr>
          <w:p w14:paraId="0610FEF6">
            <w:pPr>
              <w:widowControl/>
              <w:jc w:val="center"/>
              <w:rPr>
                <w:rFonts w:ascii="宋体" w:hAnsi="宋体" w:cs="宋体"/>
                <w:color w:val="auto"/>
                <w:kern w:val="0"/>
              </w:rPr>
            </w:pPr>
            <w:r>
              <w:rPr>
                <w:rFonts w:hint="eastAsia" w:ascii="宋体" w:hAnsi="宋体" w:cs="宋体"/>
                <w:color w:val="auto"/>
                <w:kern w:val="0"/>
              </w:rPr>
              <w:t>设备设施管理</w:t>
            </w:r>
          </w:p>
        </w:tc>
        <w:tc>
          <w:tcPr>
            <w:tcW w:w="5025" w:type="dxa"/>
            <w:shd w:val="clear" w:color="000000" w:fill="FFFFFF"/>
            <w:noWrap w:val="0"/>
            <w:vAlign w:val="center"/>
          </w:tcPr>
          <w:p w14:paraId="48F1EADE">
            <w:pPr>
              <w:widowControl/>
              <w:jc w:val="left"/>
              <w:rPr>
                <w:rFonts w:ascii="宋体" w:hAnsi="宋体" w:cs="宋体"/>
                <w:color w:val="auto"/>
                <w:kern w:val="0"/>
              </w:rPr>
            </w:pPr>
            <w:r>
              <w:rPr>
                <w:rFonts w:hint="eastAsia" w:ascii="宋体" w:hAnsi="宋体" w:cs="宋体"/>
                <w:color w:val="auto"/>
                <w:kern w:val="0"/>
              </w:rPr>
              <w:t>所负责区域的设备设施管理情况（含水电气）按时检查，发现问题未及时上报维修者，每违反一次扣0.5分</w:t>
            </w:r>
          </w:p>
        </w:tc>
        <w:tc>
          <w:tcPr>
            <w:tcW w:w="887" w:type="dxa"/>
            <w:shd w:val="clear" w:color="000000" w:fill="FFFFFF"/>
            <w:noWrap w:val="0"/>
            <w:vAlign w:val="center"/>
          </w:tcPr>
          <w:p w14:paraId="6929A3C0">
            <w:pPr>
              <w:widowControl/>
              <w:jc w:val="center"/>
              <w:rPr>
                <w:rFonts w:ascii="宋体" w:hAnsi="宋体" w:cs="宋体"/>
                <w:color w:val="auto"/>
                <w:kern w:val="0"/>
              </w:rPr>
            </w:pPr>
            <w:r>
              <w:rPr>
                <w:rFonts w:hint="eastAsia" w:ascii="宋体" w:hAnsi="宋体" w:cs="宋体"/>
                <w:color w:val="auto"/>
                <w:kern w:val="0"/>
              </w:rPr>
              <w:t>5</w:t>
            </w:r>
          </w:p>
        </w:tc>
        <w:tc>
          <w:tcPr>
            <w:tcW w:w="738" w:type="dxa"/>
            <w:noWrap w:val="0"/>
            <w:vAlign w:val="center"/>
          </w:tcPr>
          <w:p w14:paraId="111FFF68">
            <w:pPr>
              <w:widowControl/>
              <w:jc w:val="center"/>
              <w:rPr>
                <w:rFonts w:ascii="宋体" w:hAnsi="宋体" w:cs="宋体"/>
                <w:color w:val="auto"/>
                <w:kern w:val="0"/>
              </w:rPr>
            </w:pPr>
            <w:r>
              <w:rPr>
                <w:rFonts w:hint="eastAsia" w:ascii="宋体" w:hAnsi="宋体" w:cs="宋体"/>
                <w:color w:val="auto"/>
                <w:kern w:val="0"/>
              </w:rPr>
              <w:t>　</w:t>
            </w:r>
          </w:p>
        </w:tc>
        <w:tc>
          <w:tcPr>
            <w:tcW w:w="787" w:type="dxa"/>
            <w:noWrap w:val="0"/>
            <w:vAlign w:val="center"/>
          </w:tcPr>
          <w:p w14:paraId="1004ECB3">
            <w:pPr>
              <w:widowControl/>
              <w:jc w:val="left"/>
              <w:rPr>
                <w:rFonts w:ascii="宋体" w:hAnsi="宋体" w:cs="宋体"/>
                <w:color w:val="auto"/>
                <w:kern w:val="0"/>
              </w:rPr>
            </w:pPr>
            <w:r>
              <w:rPr>
                <w:rFonts w:hint="eastAsia" w:ascii="宋体" w:hAnsi="宋体" w:cs="宋体"/>
                <w:color w:val="auto"/>
                <w:kern w:val="0"/>
              </w:rPr>
              <w:t>　</w:t>
            </w:r>
          </w:p>
        </w:tc>
      </w:tr>
      <w:tr w14:paraId="48A86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67" w:type="dxa"/>
            <w:noWrap w:val="0"/>
            <w:vAlign w:val="center"/>
          </w:tcPr>
          <w:p w14:paraId="48ED0518">
            <w:pPr>
              <w:widowControl/>
              <w:jc w:val="center"/>
              <w:rPr>
                <w:rFonts w:ascii="宋体" w:hAnsi="宋体" w:cs="宋体"/>
                <w:color w:val="auto"/>
                <w:kern w:val="0"/>
              </w:rPr>
            </w:pPr>
            <w:r>
              <w:rPr>
                <w:rFonts w:hint="eastAsia" w:ascii="宋体" w:hAnsi="宋体" w:cs="宋体"/>
                <w:color w:val="auto"/>
                <w:kern w:val="0"/>
              </w:rPr>
              <w:t>6</w:t>
            </w:r>
          </w:p>
        </w:tc>
        <w:tc>
          <w:tcPr>
            <w:tcW w:w="1100" w:type="dxa"/>
            <w:noWrap w:val="0"/>
            <w:vAlign w:val="center"/>
          </w:tcPr>
          <w:p w14:paraId="5B60CA03">
            <w:pPr>
              <w:widowControl/>
              <w:jc w:val="center"/>
              <w:rPr>
                <w:rFonts w:ascii="宋体" w:hAnsi="宋体" w:cs="宋体"/>
                <w:color w:val="auto"/>
                <w:kern w:val="0"/>
              </w:rPr>
            </w:pPr>
            <w:r>
              <w:rPr>
                <w:rFonts w:hint="eastAsia" w:ascii="宋体" w:hAnsi="宋体" w:cs="宋体"/>
                <w:color w:val="auto"/>
                <w:kern w:val="0"/>
              </w:rPr>
              <w:t>食品安全</w:t>
            </w:r>
          </w:p>
        </w:tc>
        <w:tc>
          <w:tcPr>
            <w:tcW w:w="5025" w:type="dxa"/>
            <w:noWrap w:val="0"/>
            <w:vAlign w:val="center"/>
          </w:tcPr>
          <w:p w14:paraId="4E92F481">
            <w:pPr>
              <w:widowControl/>
              <w:jc w:val="left"/>
              <w:rPr>
                <w:rFonts w:ascii="宋体" w:hAnsi="宋体" w:cs="宋体"/>
                <w:color w:val="auto"/>
                <w:kern w:val="0"/>
              </w:rPr>
            </w:pPr>
            <w:r>
              <w:rPr>
                <w:rFonts w:hint="eastAsia" w:ascii="宋体" w:hAnsi="宋体" w:cs="宋体"/>
                <w:color w:val="auto"/>
                <w:kern w:val="0"/>
              </w:rPr>
              <w:t>所加工制作的食品应做到无变质腐化等安全问题，每违反一起扣5分，其他责任根据食品安全法规进行处罚</w:t>
            </w:r>
          </w:p>
        </w:tc>
        <w:tc>
          <w:tcPr>
            <w:tcW w:w="887" w:type="dxa"/>
            <w:noWrap w:val="0"/>
            <w:vAlign w:val="center"/>
          </w:tcPr>
          <w:p w14:paraId="3A1C7247">
            <w:pPr>
              <w:widowControl/>
              <w:jc w:val="center"/>
              <w:rPr>
                <w:rFonts w:ascii="宋体" w:hAnsi="宋体" w:cs="宋体"/>
                <w:color w:val="auto"/>
                <w:kern w:val="0"/>
              </w:rPr>
            </w:pPr>
            <w:r>
              <w:rPr>
                <w:rFonts w:hint="eastAsia" w:ascii="宋体" w:hAnsi="宋体" w:cs="宋体"/>
                <w:color w:val="auto"/>
                <w:kern w:val="0"/>
              </w:rPr>
              <w:t>10</w:t>
            </w:r>
          </w:p>
        </w:tc>
        <w:tc>
          <w:tcPr>
            <w:tcW w:w="738" w:type="dxa"/>
            <w:noWrap w:val="0"/>
            <w:vAlign w:val="center"/>
          </w:tcPr>
          <w:p w14:paraId="360C4DA6">
            <w:pPr>
              <w:widowControl/>
              <w:jc w:val="center"/>
              <w:rPr>
                <w:rFonts w:ascii="宋体" w:hAnsi="宋体" w:cs="宋体"/>
                <w:color w:val="auto"/>
                <w:kern w:val="0"/>
              </w:rPr>
            </w:pPr>
            <w:r>
              <w:rPr>
                <w:rFonts w:hint="eastAsia" w:ascii="宋体" w:hAnsi="宋体" w:cs="宋体"/>
                <w:color w:val="auto"/>
                <w:kern w:val="0"/>
              </w:rPr>
              <w:t>　</w:t>
            </w:r>
          </w:p>
        </w:tc>
        <w:tc>
          <w:tcPr>
            <w:tcW w:w="787" w:type="dxa"/>
            <w:noWrap w:val="0"/>
            <w:vAlign w:val="center"/>
          </w:tcPr>
          <w:p w14:paraId="789CD704">
            <w:pPr>
              <w:widowControl/>
              <w:jc w:val="left"/>
              <w:rPr>
                <w:rFonts w:ascii="宋体" w:hAnsi="宋体" w:cs="宋体"/>
                <w:color w:val="auto"/>
                <w:kern w:val="0"/>
              </w:rPr>
            </w:pPr>
            <w:r>
              <w:rPr>
                <w:rFonts w:hint="eastAsia" w:ascii="宋体" w:hAnsi="宋体" w:cs="宋体"/>
                <w:color w:val="auto"/>
                <w:kern w:val="0"/>
              </w:rPr>
              <w:t>　</w:t>
            </w:r>
          </w:p>
        </w:tc>
      </w:tr>
      <w:tr w14:paraId="7E96D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767" w:type="dxa"/>
            <w:shd w:val="clear" w:color="auto" w:fill="auto"/>
            <w:noWrap w:val="0"/>
            <w:vAlign w:val="center"/>
          </w:tcPr>
          <w:p w14:paraId="5153C914">
            <w:pPr>
              <w:widowControl/>
              <w:jc w:val="center"/>
              <w:rPr>
                <w:rFonts w:ascii="宋体" w:hAnsi="宋体" w:cs="宋体"/>
                <w:color w:val="auto"/>
                <w:kern w:val="0"/>
              </w:rPr>
            </w:pPr>
            <w:r>
              <w:rPr>
                <w:rFonts w:hint="eastAsia" w:ascii="宋体" w:hAnsi="宋体" w:cs="宋体"/>
                <w:color w:val="auto"/>
                <w:kern w:val="0"/>
              </w:rPr>
              <w:t>7</w:t>
            </w:r>
          </w:p>
        </w:tc>
        <w:tc>
          <w:tcPr>
            <w:tcW w:w="1100" w:type="dxa"/>
            <w:shd w:val="clear" w:color="auto" w:fill="auto"/>
            <w:noWrap w:val="0"/>
            <w:vAlign w:val="center"/>
          </w:tcPr>
          <w:p w14:paraId="465550A7">
            <w:pPr>
              <w:widowControl/>
              <w:jc w:val="center"/>
              <w:rPr>
                <w:rFonts w:ascii="宋体" w:hAnsi="宋体" w:cs="宋体"/>
                <w:color w:val="auto"/>
                <w:kern w:val="0"/>
              </w:rPr>
            </w:pPr>
            <w:r>
              <w:rPr>
                <w:rFonts w:hint="eastAsia" w:ascii="宋体" w:hAnsi="宋体" w:cs="宋体"/>
                <w:color w:val="auto"/>
                <w:kern w:val="0"/>
              </w:rPr>
              <w:t>日常事务安排</w:t>
            </w:r>
          </w:p>
        </w:tc>
        <w:tc>
          <w:tcPr>
            <w:tcW w:w="5025" w:type="dxa"/>
            <w:shd w:val="clear" w:color="000000" w:fill="FFFFFF"/>
            <w:noWrap w:val="0"/>
            <w:vAlign w:val="center"/>
          </w:tcPr>
          <w:p w14:paraId="1EB4B8B2">
            <w:pPr>
              <w:widowControl/>
              <w:jc w:val="left"/>
              <w:rPr>
                <w:rFonts w:ascii="宋体" w:hAnsi="宋体" w:cs="宋体"/>
                <w:color w:val="auto"/>
                <w:kern w:val="0"/>
              </w:rPr>
            </w:pPr>
            <w:r>
              <w:rPr>
                <w:rFonts w:hint="eastAsia" w:ascii="宋体" w:hAnsi="宋体" w:cs="宋体"/>
                <w:color w:val="auto"/>
                <w:kern w:val="0"/>
              </w:rPr>
              <w:t>安排处理好食堂日常事务，及时协调解决有关问题，保持良好工作秩序，严抓反对浪费工作，并对食堂人员出现问题负连带责任，未按要求达标者每次扣0.5分。</w:t>
            </w:r>
          </w:p>
        </w:tc>
        <w:tc>
          <w:tcPr>
            <w:tcW w:w="887" w:type="dxa"/>
            <w:shd w:val="clear" w:color="000000" w:fill="FFFFFF"/>
            <w:noWrap w:val="0"/>
            <w:vAlign w:val="center"/>
          </w:tcPr>
          <w:p w14:paraId="7ADBDFA5">
            <w:pPr>
              <w:widowControl/>
              <w:jc w:val="center"/>
              <w:rPr>
                <w:rFonts w:ascii="宋体" w:hAnsi="宋体" w:cs="宋体"/>
                <w:color w:val="auto"/>
                <w:kern w:val="0"/>
              </w:rPr>
            </w:pPr>
            <w:r>
              <w:rPr>
                <w:rFonts w:hint="eastAsia" w:ascii="宋体" w:hAnsi="宋体" w:cs="宋体"/>
                <w:color w:val="auto"/>
                <w:kern w:val="0"/>
              </w:rPr>
              <w:t>5</w:t>
            </w:r>
          </w:p>
        </w:tc>
        <w:tc>
          <w:tcPr>
            <w:tcW w:w="738" w:type="dxa"/>
            <w:noWrap w:val="0"/>
            <w:vAlign w:val="center"/>
          </w:tcPr>
          <w:p w14:paraId="0E468218">
            <w:pPr>
              <w:widowControl/>
              <w:jc w:val="center"/>
              <w:rPr>
                <w:rFonts w:ascii="宋体" w:hAnsi="宋体" w:cs="宋体"/>
                <w:color w:val="auto"/>
                <w:kern w:val="0"/>
              </w:rPr>
            </w:pPr>
            <w:r>
              <w:rPr>
                <w:rFonts w:hint="eastAsia" w:ascii="宋体" w:hAnsi="宋体" w:cs="宋体"/>
                <w:color w:val="auto"/>
                <w:kern w:val="0"/>
              </w:rPr>
              <w:t>　</w:t>
            </w:r>
          </w:p>
        </w:tc>
        <w:tc>
          <w:tcPr>
            <w:tcW w:w="787" w:type="dxa"/>
            <w:noWrap w:val="0"/>
            <w:vAlign w:val="center"/>
          </w:tcPr>
          <w:p w14:paraId="1B44BA76">
            <w:pPr>
              <w:widowControl/>
              <w:jc w:val="left"/>
              <w:rPr>
                <w:rFonts w:ascii="宋体" w:hAnsi="宋体" w:cs="宋体"/>
                <w:color w:val="auto"/>
                <w:kern w:val="0"/>
              </w:rPr>
            </w:pPr>
            <w:r>
              <w:rPr>
                <w:rFonts w:hint="eastAsia" w:ascii="宋体" w:hAnsi="宋体" w:cs="宋体"/>
                <w:color w:val="auto"/>
                <w:kern w:val="0"/>
              </w:rPr>
              <w:t>　</w:t>
            </w:r>
          </w:p>
        </w:tc>
      </w:tr>
      <w:tr w14:paraId="7F00E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67" w:type="dxa"/>
            <w:shd w:val="clear" w:color="auto" w:fill="auto"/>
            <w:noWrap w:val="0"/>
            <w:vAlign w:val="center"/>
          </w:tcPr>
          <w:p w14:paraId="134B479B">
            <w:pPr>
              <w:widowControl/>
              <w:jc w:val="center"/>
              <w:rPr>
                <w:rFonts w:ascii="宋体" w:hAnsi="宋体" w:cs="宋体"/>
                <w:color w:val="auto"/>
                <w:kern w:val="0"/>
              </w:rPr>
            </w:pPr>
            <w:r>
              <w:rPr>
                <w:rFonts w:hint="eastAsia" w:ascii="宋体" w:hAnsi="宋体" w:cs="宋体"/>
                <w:color w:val="auto"/>
                <w:kern w:val="0"/>
              </w:rPr>
              <w:t>8</w:t>
            </w:r>
          </w:p>
        </w:tc>
        <w:tc>
          <w:tcPr>
            <w:tcW w:w="1100" w:type="dxa"/>
            <w:shd w:val="clear" w:color="auto" w:fill="auto"/>
            <w:noWrap w:val="0"/>
            <w:vAlign w:val="center"/>
          </w:tcPr>
          <w:p w14:paraId="3829AB7A">
            <w:pPr>
              <w:widowControl/>
              <w:jc w:val="center"/>
              <w:rPr>
                <w:rFonts w:ascii="宋体" w:hAnsi="宋体" w:cs="宋体"/>
                <w:color w:val="auto"/>
                <w:kern w:val="0"/>
              </w:rPr>
            </w:pPr>
            <w:r>
              <w:rPr>
                <w:rFonts w:hint="eastAsia" w:ascii="宋体" w:hAnsi="宋体" w:cs="宋体"/>
                <w:color w:val="auto"/>
                <w:kern w:val="0"/>
              </w:rPr>
              <w:t>刷脸监督</w:t>
            </w:r>
          </w:p>
        </w:tc>
        <w:tc>
          <w:tcPr>
            <w:tcW w:w="5025" w:type="dxa"/>
            <w:shd w:val="clear" w:color="000000" w:fill="FFFFFF"/>
            <w:noWrap w:val="0"/>
            <w:vAlign w:val="center"/>
          </w:tcPr>
          <w:p w14:paraId="45042850">
            <w:pPr>
              <w:widowControl/>
              <w:jc w:val="left"/>
              <w:rPr>
                <w:rFonts w:ascii="宋体" w:hAnsi="宋体" w:cs="宋体"/>
                <w:color w:val="auto"/>
                <w:kern w:val="0"/>
              </w:rPr>
            </w:pPr>
            <w:r>
              <w:rPr>
                <w:rFonts w:hint="eastAsia" w:ascii="宋体" w:hAnsi="宋体" w:cs="宋体"/>
                <w:color w:val="auto"/>
                <w:kern w:val="0"/>
              </w:rPr>
              <w:t>在就餐中，必须按要求对刷脸及收取餐劵严格监督，按照一脸一餐具发放，未按要求执行，每次扣0.5分</w:t>
            </w:r>
          </w:p>
        </w:tc>
        <w:tc>
          <w:tcPr>
            <w:tcW w:w="887" w:type="dxa"/>
            <w:shd w:val="clear" w:color="000000" w:fill="FFFFFF"/>
            <w:noWrap w:val="0"/>
            <w:vAlign w:val="center"/>
          </w:tcPr>
          <w:p w14:paraId="0565765E">
            <w:pPr>
              <w:widowControl/>
              <w:jc w:val="center"/>
              <w:rPr>
                <w:rFonts w:ascii="宋体" w:hAnsi="宋体" w:cs="宋体"/>
                <w:color w:val="auto"/>
                <w:kern w:val="0"/>
              </w:rPr>
            </w:pPr>
            <w:r>
              <w:rPr>
                <w:rFonts w:hint="eastAsia" w:ascii="宋体" w:hAnsi="宋体" w:cs="宋体"/>
                <w:color w:val="auto"/>
                <w:kern w:val="0"/>
              </w:rPr>
              <w:t>5</w:t>
            </w:r>
          </w:p>
        </w:tc>
        <w:tc>
          <w:tcPr>
            <w:tcW w:w="738" w:type="dxa"/>
            <w:noWrap w:val="0"/>
            <w:vAlign w:val="center"/>
          </w:tcPr>
          <w:p w14:paraId="43E8347B">
            <w:pPr>
              <w:widowControl/>
              <w:jc w:val="center"/>
              <w:rPr>
                <w:rFonts w:ascii="宋体" w:hAnsi="宋体" w:cs="宋体"/>
                <w:color w:val="auto"/>
                <w:kern w:val="0"/>
              </w:rPr>
            </w:pPr>
            <w:r>
              <w:rPr>
                <w:rFonts w:hint="eastAsia" w:ascii="宋体" w:hAnsi="宋体" w:cs="宋体"/>
                <w:color w:val="auto"/>
                <w:kern w:val="0"/>
              </w:rPr>
              <w:t>　</w:t>
            </w:r>
          </w:p>
        </w:tc>
        <w:tc>
          <w:tcPr>
            <w:tcW w:w="787" w:type="dxa"/>
            <w:noWrap w:val="0"/>
            <w:vAlign w:val="center"/>
          </w:tcPr>
          <w:p w14:paraId="6F2AA25B">
            <w:pPr>
              <w:widowControl/>
              <w:jc w:val="left"/>
              <w:rPr>
                <w:rFonts w:ascii="宋体" w:hAnsi="宋体" w:cs="宋体"/>
                <w:color w:val="auto"/>
                <w:kern w:val="0"/>
              </w:rPr>
            </w:pPr>
            <w:r>
              <w:rPr>
                <w:rFonts w:hint="eastAsia" w:ascii="宋体" w:hAnsi="宋体" w:cs="宋体"/>
                <w:color w:val="auto"/>
                <w:kern w:val="0"/>
              </w:rPr>
              <w:t>　</w:t>
            </w:r>
          </w:p>
        </w:tc>
      </w:tr>
      <w:tr w14:paraId="51BC6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67" w:type="dxa"/>
            <w:shd w:val="clear" w:color="auto" w:fill="auto"/>
            <w:noWrap w:val="0"/>
            <w:vAlign w:val="center"/>
          </w:tcPr>
          <w:p w14:paraId="0CA8C7FA">
            <w:pPr>
              <w:widowControl/>
              <w:jc w:val="center"/>
              <w:rPr>
                <w:rFonts w:ascii="宋体" w:hAnsi="宋体" w:cs="宋体"/>
                <w:color w:val="auto"/>
                <w:kern w:val="0"/>
              </w:rPr>
            </w:pPr>
            <w:r>
              <w:rPr>
                <w:rFonts w:hint="eastAsia" w:ascii="宋体" w:hAnsi="宋体" w:cs="宋体"/>
                <w:color w:val="auto"/>
                <w:kern w:val="0"/>
              </w:rPr>
              <w:t>9</w:t>
            </w:r>
          </w:p>
        </w:tc>
        <w:tc>
          <w:tcPr>
            <w:tcW w:w="1100" w:type="dxa"/>
            <w:shd w:val="clear" w:color="auto" w:fill="auto"/>
            <w:noWrap w:val="0"/>
            <w:vAlign w:val="center"/>
          </w:tcPr>
          <w:p w14:paraId="033AE8E5">
            <w:pPr>
              <w:widowControl/>
              <w:jc w:val="center"/>
              <w:rPr>
                <w:rFonts w:ascii="宋体" w:hAnsi="宋体" w:cs="宋体"/>
                <w:color w:val="auto"/>
                <w:kern w:val="0"/>
              </w:rPr>
            </w:pPr>
            <w:r>
              <w:rPr>
                <w:rFonts w:hint="eastAsia" w:ascii="宋体" w:hAnsi="宋体" w:cs="宋体"/>
                <w:color w:val="auto"/>
                <w:kern w:val="0"/>
              </w:rPr>
              <w:t>菜品质量</w:t>
            </w:r>
          </w:p>
        </w:tc>
        <w:tc>
          <w:tcPr>
            <w:tcW w:w="5025" w:type="dxa"/>
            <w:shd w:val="clear" w:color="000000" w:fill="FFFFFF"/>
            <w:noWrap w:val="0"/>
            <w:vAlign w:val="center"/>
          </w:tcPr>
          <w:p w14:paraId="06F8469F">
            <w:pPr>
              <w:widowControl/>
              <w:jc w:val="left"/>
              <w:rPr>
                <w:rFonts w:ascii="宋体" w:hAnsi="宋体" w:cs="宋体"/>
                <w:color w:val="auto"/>
                <w:kern w:val="0"/>
              </w:rPr>
            </w:pPr>
            <w:r>
              <w:rPr>
                <w:rFonts w:hint="eastAsia" w:ascii="宋体" w:hAnsi="宋体" w:cs="宋体"/>
                <w:color w:val="auto"/>
                <w:kern w:val="0"/>
              </w:rPr>
              <w:t>严格按照办公室提供的菜谱进行制作，注意菜品在色、香、味及营养上有机结合，严防菜品粗加工和制作过程的浪费现象，非特殊原因，未按菜谱落实的，每项菜扣0.5分，造成浪费的，每次扣1分。</w:t>
            </w:r>
          </w:p>
        </w:tc>
        <w:tc>
          <w:tcPr>
            <w:tcW w:w="887" w:type="dxa"/>
            <w:shd w:val="clear" w:color="000000" w:fill="FFFFFF"/>
            <w:noWrap w:val="0"/>
            <w:vAlign w:val="center"/>
          </w:tcPr>
          <w:p w14:paraId="2B895A8D">
            <w:pPr>
              <w:widowControl/>
              <w:jc w:val="center"/>
              <w:rPr>
                <w:rFonts w:ascii="宋体" w:hAnsi="宋体" w:cs="宋体"/>
                <w:color w:val="auto"/>
                <w:kern w:val="0"/>
              </w:rPr>
            </w:pPr>
            <w:r>
              <w:rPr>
                <w:rFonts w:hint="eastAsia" w:ascii="宋体" w:hAnsi="宋体" w:cs="宋体"/>
                <w:color w:val="auto"/>
                <w:kern w:val="0"/>
              </w:rPr>
              <w:t>10</w:t>
            </w:r>
          </w:p>
        </w:tc>
        <w:tc>
          <w:tcPr>
            <w:tcW w:w="738" w:type="dxa"/>
            <w:noWrap w:val="0"/>
            <w:vAlign w:val="center"/>
          </w:tcPr>
          <w:p w14:paraId="0EC3AC68">
            <w:pPr>
              <w:widowControl/>
              <w:jc w:val="center"/>
              <w:rPr>
                <w:rFonts w:ascii="宋体" w:hAnsi="宋体" w:cs="宋体"/>
                <w:color w:val="auto"/>
                <w:kern w:val="0"/>
              </w:rPr>
            </w:pPr>
            <w:r>
              <w:rPr>
                <w:rFonts w:hint="eastAsia" w:ascii="宋体" w:hAnsi="宋体" w:cs="宋体"/>
                <w:color w:val="auto"/>
                <w:kern w:val="0"/>
              </w:rPr>
              <w:t>　</w:t>
            </w:r>
          </w:p>
        </w:tc>
        <w:tc>
          <w:tcPr>
            <w:tcW w:w="787" w:type="dxa"/>
            <w:noWrap w:val="0"/>
            <w:vAlign w:val="center"/>
          </w:tcPr>
          <w:p w14:paraId="0518303A">
            <w:pPr>
              <w:widowControl/>
              <w:jc w:val="left"/>
              <w:rPr>
                <w:rFonts w:ascii="宋体" w:hAnsi="宋体" w:cs="宋体"/>
                <w:color w:val="auto"/>
                <w:kern w:val="0"/>
              </w:rPr>
            </w:pPr>
            <w:r>
              <w:rPr>
                <w:rFonts w:hint="eastAsia" w:ascii="宋体" w:hAnsi="宋体" w:cs="宋体"/>
                <w:color w:val="auto"/>
                <w:kern w:val="0"/>
              </w:rPr>
              <w:t>　</w:t>
            </w:r>
          </w:p>
        </w:tc>
      </w:tr>
      <w:tr w14:paraId="2782D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67" w:type="dxa"/>
            <w:shd w:val="clear" w:color="auto" w:fill="auto"/>
            <w:noWrap w:val="0"/>
            <w:vAlign w:val="center"/>
          </w:tcPr>
          <w:p w14:paraId="7A120C65">
            <w:pPr>
              <w:widowControl/>
              <w:jc w:val="center"/>
              <w:rPr>
                <w:rFonts w:ascii="宋体" w:hAnsi="宋体" w:cs="宋体"/>
                <w:color w:val="auto"/>
                <w:kern w:val="0"/>
              </w:rPr>
            </w:pPr>
            <w:r>
              <w:rPr>
                <w:rFonts w:hint="eastAsia" w:ascii="宋体" w:hAnsi="宋体" w:cs="宋体"/>
                <w:color w:val="auto"/>
                <w:kern w:val="0"/>
              </w:rPr>
              <w:t>10</w:t>
            </w:r>
          </w:p>
        </w:tc>
        <w:tc>
          <w:tcPr>
            <w:tcW w:w="1100" w:type="dxa"/>
            <w:shd w:val="clear" w:color="auto" w:fill="auto"/>
            <w:noWrap w:val="0"/>
            <w:vAlign w:val="center"/>
          </w:tcPr>
          <w:p w14:paraId="5816CEFA">
            <w:pPr>
              <w:widowControl/>
              <w:jc w:val="center"/>
              <w:rPr>
                <w:rFonts w:ascii="宋体" w:hAnsi="宋体" w:cs="宋体"/>
                <w:color w:val="auto"/>
                <w:kern w:val="0"/>
              </w:rPr>
            </w:pPr>
            <w:r>
              <w:rPr>
                <w:rFonts w:hint="eastAsia" w:ascii="宋体" w:hAnsi="宋体" w:cs="宋体"/>
                <w:color w:val="auto"/>
                <w:kern w:val="0"/>
              </w:rPr>
              <w:t>食品留样</w:t>
            </w:r>
          </w:p>
        </w:tc>
        <w:tc>
          <w:tcPr>
            <w:tcW w:w="5025" w:type="dxa"/>
            <w:shd w:val="clear" w:color="000000" w:fill="FFFFFF"/>
            <w:noWrap w:val="0"/>
            <w:vAlign w:val="center"/>
          </w:tcPr>
          <w:p w14:paraId="40EB4B58">
            <w:pPr>
              <w:widowControl/>
              <w:jc w:val="left"/>
              <w:rPr>
                <w:rFonts w:ascii="宋体" w:hAnsi="宋体" w:cs="宋体"/>
                <w:color w:val="auto"/>
                <w:kern w:val="0"/>
              </w:rPr>
            </w:pPr>
            <w:r>
              <w:rPr>
                <w:rFonts w:hint="eastAsia" w:ascii="宋体" w:hAnsi="宋体" w:cs="宋体"/>
                <w:color w:val="auto"/>
                <w:kern w:val="0"/>
              </w:rPr>
              <w:t>严格按照食品留样标准每天进行食品留样，并做好台账登记，未按要求执行每次扣0.5分。</w:t>
            </w:r>
          </w:p>
        </w:tc>
        <w:tc>
          <w:tcPr>
            <w:tcW w:w="887" w:type="dxa"/>
            <w:shd w:val="clear" w:color="000000" w:fill="FFFFFF"/>
            <w:noWrap w:val="0"/>
            <w:vAlign w:val="center"/>
          </w:tcPr>
          <w:p w14:paraId="298D4710">
            <w:pPr>
              <w:widowControl/>
              <w:jc w:val="center"/>
              <w:rPr>
                <w:rFonts w:ascii="宋体" w:hAnsi="宋体" w:cs="宋体"/>
                <w:color w:val="auto"/>
                <w:kern w:val="0"/>
              </w:rPr>
            </w:pPr>
            <w:r>
              <w:rPr>
                <w:rFonts w:hint="eastAsia" w:ascii="宋体" w:hAnsi="宋体" w:cs="宋体"/>
                <w:color w:val="auto"/>
                <w:kern w:val="0"/>
              </w:rPr>
              <w:t>5</w:t>
            </w:r>
          </w:p>
        </w:tc>
        <w:tc>
          <w:tcPr>
            <w:tcW w:w="738" w:type="dxa"/>
            <w:noWrap w:val="0"/>
            <w:vAlign w:val="center"/>
          </w:tcPr>
          <w:p w14:paraId="63705296">
            <w:pPr>
              <w:widowControl/>
              <w:jc w:val="center"/>
              <w:rPr>
                <w:rFonts w:ascii="宋体" w:hAnsi="宋体" w:cs="宋体"/>
                <w:color w:val="auto"/>
                <w:kern w:val="0"/>
              </w:rPr>
            </w:pPr>
            <w:r>
              <w:rPr>
                <w:rFonts w:hint="eastAsia" w:ascii="宋体" w:hAnsi="宋体" w:cs="宋体"/>
                <w:color w:val="auto"/>
                <w:kern w:val="0"/>
              </w:rPr>
              <w:t>　</w:t>
            </w:r>
          </w:p>
        </w:tc>
        <w:tc>
          <w:tcPr>
            <w:tcW w:w="787" w:type="dxa"/>
            <w:noWrap w:val="0"/>
            <w:vAlign w:val="center"/>
          </w:tcPr>
          <w:p w14:paraId="44F14DC6">
            <w:pPr>
              <w:widowControl/>
              <w:jc w:val="left"/>
              <w:rPr>
                <w:rFonts w:ascii="宋体" w:hAnsi="宋体" w:cs="宋体"/>
                <w:color w:val="auto"/>
                <w:kern w:val="0"/>
              </w:rPr>
            </w:pPr>
            <w:r>
              <w:rPr>
                <w:rFonts w:hint="eastAsia" w:ascii="宋体" w:hAnsi="宋体" w:cs="宋体"/>
                <w:color w:val="auto"/>
                <w:kern w:val="0"/>
              </w:rPr>
              <w:t>　</w:t>
            </w:r>
          </w:p>
        </w:tc>
      </w:tr>
      <w:tr w14:paraId="1A2A0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767" w:type="dxa"/>
            <w:shd w:val="clear" w:color="auto" w:fill="auto"/>
            <w:noWrap w:val="0"/>
            <w:vAlign w:val="center"/>
          </w:tcPr>
          <w:p w14:paraId="4CACEBA0">
            <w:pPr>
              <w:widowControl/>
              <w:jc w:val="center"/>
              <w:rPr>
                <w:rFonts w:ascii="宋体" w:hAnsi="宋体" w:cs="宋体"/>
                <w:color w:val="auto"/>
                <w:kern w:val="0"/>
              </w:rPr>
            </w:pPr>
            <w:r>
              <w:rPr>
                <w:rFonts w:hint="eastAsia" w:ascii="宋体" w:hAnsi="宋体" w:cs="宋体"/>
                <w:color w:val="auto"/>
                <w:kern w:val="0"/>
              </w:rPr>
              <w:t>11</w:t>
            </w:r>
          </w:p>
        </w:tc>
        <w:tc>
          <w:tcPr>
            <w:tcW w:w="1100" w:type="dxa"/>
            <w:shd w:val="clear" w:color="auto" w:fill="auto"/>
            <w:noWrap w:val="0"/>
            <w:vAlign w:val="center"/>
          </w:tcPr>
          <w:p w14:paraId="6649E247">
            <w:pPr>
              <w:widowControl/>
              <w:jc w:val="center"/>
              <w:rPr>
                <w:rFonts w:ascii="宋体" w:hAnsi="宋体" w:cs="宋体"/>
                <w:color w:val="auto"/>
                <w:kern w:val="0"/>
              </w:rPr>
            </w:pPr>
            <w:r>
              <w:rPr>
                <w:rFonts w:hint="eastAsia" w:ascii="宋体" w:hAnsi="宋体" w:cs="宋体"/>
                <w:color w:val="auto"/>
                <w:kern w:val="0"/>
              </w:rPr>
              <w:t>菜式创新</w:t>
            </w:r>
          </w:p>
        </w:tc>
        <w:tc>
          <w:tcPr>
            <w:tcW w:w="5025" w:type="dxa"/>
            <w:shd w:val="clear" w:color="000000" w:fill="FFFFFF"/>
            <w:noWrap w:val="0"/>
            <w:vAlign w:val="center"/>
          </w:tcPr>
          <w:p w14:paraId="3B65EA2D">
            <w:pPr>
              <w:widowControl/>
              <w:jc w:val="left"/>
              <w:rPr>
                <w:rFonts w:ascii="宋体" w:hAnsi="宋体" w:cs="宋体"/>
                <w:color w:val="auto"/>
                <w:kern w:val="0"/>
              </w:rPr>
            </w:pPr>
            <w:r>
              <w:rPr>
                <w:rFonts w:hint="eastAsia" w:ascii="宋体" w:hAnsi="宋体" w:cs="宋体"/>
                <w:color w:val="auto"/>
                <w:kern w:val="0"/>
              </w:rPr>
              <w:t>在菜式创新上应做到与相关人员进行讨论，每月每人务必推出2个新菜，未按要求执行，每次扣1分</w:t>
            </w:r>
          </w:p>
        </w:tc>
        <w:tc>
          <w:tcPr>
            <w:tcW w:w="887" w:type="dxa"/>
            <w:shd w:val="clear" w:color="000000" w:fill="FFFFFF"/>
            <w:noWrap w:val="0"/>
            <w:vAlign w:val="center"/>
          </w:tcPr>
          <w:p w14:paraId="11F29815">
            <w:pPr>
              <w:widowControl/>
              <w:jc w:val="center"/>
              <w:rPr>
                <w:rFonts w:ascii="宋体" w:hAnsi="宋体" w:cs="宋体"/>
                <w:color w:val="auto"/>
                <w:kern w:val="0"/>
              </w:rPr>
            </w:pPr>
            <w:r>
              <w:rPr>
                <w:rFonts w:hint="eastAsia" w:ascii="宋体" w:hAnsi="宋体" w:cs="宋体"/>
                <w:color w:val="auto"/>
                <w:kern w:val="0"/>
              </w:rPr>
              <w:t>5</w:t>
            </w:r>
          </w:p>
        </w:tc>
        <w:tc>
          <w:tcPr>
            <w:tcW w:w="738" w:type="dxa"/>
            <w:noWrap w:val="0"/>
            <w:vAlign w:val="center"/>
          </w:tcPr>
          <w:p w14:paraId="1FF7E7E3">
            <w:pPr>
              <w:widowControl/>
              <w:jc w:val="center"/>
              <w:rPr>
                <w:rFonts w:ascii="宋体" w:hAnsi="宋体" w:cs="宋体"/>
                <w:color w:val="auto"/>
                <w:kern w:val="0"/>
              </w:rPr>
            </w:pPr>
            <w:r>
              <w:rPr>
                <w:rFonts w:hint="eastAsia" w:ascii="宋体" w:hAnsi="宋体" w:cs="宋体"/>
                <w:color w:val="auto"/>
                <w:kern w:val="0"/>
              </w:rPr>
              <w:t>　</w:t>
            </w:r>
          </w:p>
        </w:tc>
        <w:tc>
          <w:tcPr>
            <w:tcW w:w="787" w:type="dxa"/>
            <w:noWrap w:val="0"/>
            <w:vAlign w:val="center"/>
          </w:tcPr>
          <w:p w14:paraId="2C94F354">
            <w:pPr>
              <w:widowControl/>
              <w:jc w:val="left"/>
              <w:rPr>
                <w:rFonts w:ascii="宋体" w:hAnsi="宋体" w:cs="宋体"/>
                <w:color w:val="auto"/>
                <w:kern w:val="0"/>
              </w:rPr>
            </w:pPr>
            <w:r>
              <w:rPr>
                <w:rFonts w:hint="eastAsia" w:ascii="宋体" w:hAnsi="宋体" w:cs="宋体"/>
                <w:color w:val="auto"/>
                <w:kern w:val="0"/>
              </w:rPr>
              <w:t>　</w:t>
            </w:r>
          </w:p>
        </w:tc>
      </w:tr>
      <w:tr w14:paraId="1D177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767" w:type="dxa"/>
            <w:shd w:val="clear" w:color="auto" w:fill="auto"/>
            <w:noWrap w:val="0"/>
            <w:vAlign w:val="center"/>
          </w:tcPr>
          <w:p w14:paraId="324177E0">
            <w:pPr>
              <w:widowControl/>
              <w:jc w:val="center"/>
              <w:rPr>
                <w:rFonts w:ascii="宋体" w:hAnsi="宋体" w:cs="宋体"/>
                <w:color w:val="auto"/>
                <w:kern w:val="0"/>
              </w:rPr>
            </w:pPr>
            <w:r>
              <w:rPr>
                <w:rFonts w:hint="eastAsia" w:ascii="宋体" w:hAnsi="宋体" w:cs="宋体"/>
                <w:color w:val="auto"/>
                <w:kern w:val="0"/>
              </w:rPr>
              <w:t>12</w:t>
            </w:r>
          </w:p>
        </w:tc>
        <w:tc>
          <w:tcPr>
            <w:tcW w:w="1100" w:type="dxa"/>
            <w:shd w:val="clear" w:color="auto" w:fill="auto"/>
            <w:noWrap w:val="0"/>
            <w:vAlign w:val="center"/>
          </w:tcPr>
          <w:p w14:paraId="42FBB640">
            <w:pPr>
              <w:widowControl/>
              <w:jc w:val="center"/>
              <w:rPr>
                <w:rFonts w:ascii="宋体" w:hAnsi="宋体" w:cs="宋体"/>
                <w:color w:val="auto"/>
                <w:kern w:val="0"/>
              </w:rPr>
            </w:pPr>
            <w:r>
              <w:rPr>
                <w:rFonts w:hint="eastAsia" w:ascii="宋体" w:hAnsi="宋体" w:cs="宋体"/>
                <w:color w:val="auto"/>
                <w:kern w:val="0"/>
              </w:rPr>
              <w:t>摘菜、洗菜、传菜</w:t>
            </w:r>
          </w:p>
        </w:tc>
        <w:tc>
          <w:tcPr>
            <w:tcW w:w="5025" w:type="dxa"/>
            <w:shd w:val="clear" w:color="000000" w:fill="FFFFFF"/>
            <w:noWrap w:val="0"/>
            <w:vAlign w:val="center"/>
          </w:tcPr>
          <w:p w14:paraId="6F87B2D7">
            <w:pPr>
              <w:widowControl/>
              <w:jc w:val="left"/>
              <w:rPr>
                <w:rFonts w:ascii="宋体" w:hAnsi="宋体" w:cs="宋体"/>
                <w:color w:val="auto"/>
                <w:kern w:val="0"/>
              </w:rPr>
            </w:pPr>
            <w:r>
              <w:rPr>
                <w:rFonts w:hint="eastAsia" w:ascii="宋体" w:hAnsi="宋体" w:cs="宋体"/>
                <w:color w:val="auto"/>
                <w:kern w:val="0"/>
              </w:rPr>
              <w:t>摘菜、洗菜、传菜、蒸饭要及时，确保食物的正常供应；蔬菜的清洗应做到无泥沙杂质、无枯萎黄叶，菜品粗加工和清洗阶段都要严防浪费现象，未按要求执行，每次扣0.5分。</w:t>
            </w:r>
          </w:p>
        </w:tc>
        <w:tc>
          <w:tcPr>
            <w:tcW w:w="887" w:type="dxa"/>
            <w:shd w:val="clear" w:color="000000" w:fill="FFFFFF"/>
            <w:noWrap w:val="0"/>
            <w:vAlign w:val="center"/>
          </w:tcPr>
          <w:p w14:paraId="47F523C9">
            <w:pPr>
              <w:widowControl/>
              <w:jc w:val="center"/>
              <w:rPr>
                <w:rFonts w:ascii="宋体" w:hAnsi="宋体" w:cs="宋体"/>
                <w:color w:val="auto"/>
                <w:kern w:val="0"/>
              </w:rPr>
            </w:pPr>
            <w:r>
              <w:rPr>
                <w:rFonts w:hint="eastAsia" w:ascii="宋体" w:hAnsi="宋体" w:cs="宋体"/>
                <w:color w:val="auto"/>
                <w:kern w:val="0"/>
              </w:rPr>
              <w:t>5</w:t>
            </w:r>
          </w:p>
        </w:tc>
        <w:tc>
          <w:tcPr>
            <w:tcW w:w="738" w:type="dxa"/>
            <w:noWrap w:val="0"/>
            <w:vAlign w:val="center"/>
          </w:tcPr>
          <w:p w14:paraId="531B9E3F">
            <w:pPr>
              <w:widowControl/>
              <w:jc w:val="center"/>
              <w:rPr>
                <w:rFonts w:ascii="宋体" w:hAnsi="宋体" w:cs="宋体"/>
                <w:color w:val="auto"/>
                <w:kern w:val="0"/>
              </w:rPr>
            </w:pPr>
            <w:r>
              <w:rPr>
                <w:rFonts w:hint="eastAsia" w:ascii="宋体" w:hAnsi="宋体" w:cs="宋体"/>
                <w:color w:val="auto"/>
                <w:kern w:val="0"/>
              </w:rPr>
              <w:t>　</w:t>
            </w:r>
          </w:p>
        </w:tc>
        <w:tc>
          <w:tcPr>
            <w:tcW w:w="787" w:type="dxa"/>
            <w:noWrap w:val="0"/>
            <w:vAlign w:val="center"/>
          </w:tcPr>
          <w:p w14:paraId="131F9E31">
            <w:pPr>
              <w:widowControl/>
              <w:jc w:val="left"/>
              <w:rPr>
                <w:rFonts w:ascii="宋体" w:hAnsi="宋体" w:cs="宋体"/>
                <w:color w:val="auto"/>
                <w:kern w:val="0"/>
              </w:rPr>
            </w:pPr>
            <w:r>
              <w:rPr>
                <w:rFonts w:hint="eastAsia" w:ascii="宋体" w:hAnsi="宋体" w:cs="宋体"/>
                <w:color w:val="auto"/>
                <w:kern w:val="0"/>
              </w:rPr>
              <w:t>　</w:t>
            </w:r>
          </w:p>
        </w:tc>
      </w:tr>
      <w:tr w14:paraId="31AA8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767" w:type="dxa"/>
            <w:shd w:val="clear" w:color="auto" w:fill="auto"/>
            <w:noWrap w:val="0"/>
            <w:vAlign w:val="center"/>
          </w:tcPr>
          <w:p w14:paraId="60A01B4A">
            <w:pPr>
              <w:widowControl/>
              <w:jc w:val="center"/>
              <w:rPr>
                <w:rFonts w:ascii="宋体" w:hAnsi="宋体" w:cs="宋体"/>
                <w:color w:val="auto"/>
                <w:kern w:val="0"/>
              </w:rPr>
            </w:pPr>
            <w:r>
              <w:rPr>
                <w:rFonts w:hint="eastAsia" w:ascii="宋体" w:hAnsi="宋体" w:cs="宋体"/>
                <w:color w:val="auto"/>
                <w:kern w:val="0"/>
              </w:rPr>
              <w:t>13</w:t>
            </w:r>
          </w:p>
        </w:tc>
        <w:tc>
          <w:tcPr>
            <w:tcW w:w="1100" w:type="dxa"/>
            <w:shd w:val="clear" w:color="auto" w:fill="auto"/>
            <w:noWrap w:val="0"/>
            <w:vAlign w:val="center"/>
          </w:tcPr>
          <w:p w14:paraId="59E51322">
            <w:pPr>
              <w:widowControl/>
              <w:jc w:val="center"/>
              <w:rPr>
                <w:rFonts w:ascii="宋体" w:hAnsi="宋体" w:cs="宋体"/>
                <w:color w:val="auto"/>
                <w:kern w:val="0"/>
              </w:rPr>
            </w:pPr>
            <w:r>
              <w:rPr>
                <w:rFonts w:hint="eastAsia" w:ascii="宋体" w:hAnsi="宋体" w:cs="宋体"/>
                <w:color w:val="auto"/>
                <w:kern w:val="0"/>
              </w:rPr>
              <w:t>餐具清洗消毒</w:t>
            </w:r>
          </w:p>
        </w:tc>
        <w:tc>
          <w:tcPr>
            <w:tcW w:w="5025" w:type="dxa"/>
            <w:shd w:val="clear" w:color="000000" w:fill="FFFFFF"/>
            <w:noWrap w:val="0"/>
            <w:vAlign w:val="center"/>
          </w:tcPr>
          <w:p w14:paraId="23AF3600">
            <w:pPr>
              <w:widowControl/>
              <w:jc w:val="left"/>
              <w:rPr>
                <w:rFonts w:ascii="宋体" w:hAnsi="宋体" w:cs="宋体"/>
                <w:color w:val="auto"/>
                <w:kern w:val="0"/>
              </w:rPr>
            </w:pPr>
            <w:r>
              <w:rPr>
                <w:rFonts w:hint="eastAsia" w:ascii="宋体" w:hAnsi="宋体" w:cs="宋体"/>
                <w:color w:val="auto"/>
                <w:kern w:val="0"/>
              </w:rPr>
              <w:t>餐具要保证干净，无破损，餐具消毒前未用洁净抹布擦干，餐具不干净、有破损现象、有滴水现象，消毒未达到规定时间就取出使用及未按要求登记消毒时间记录，每违反一次扣0.5分,不爱惜餐具，人为造成大量破损的，每次扣2分。</w:t>
            </w:r>
          </w:p>
        </w:tc>
        <w:tc>
          <w:tcPr>
            <w:tcW w:w="887" w:type="dxa"/>
            <w:shd w:val="clear" w:color="000000" w:fill="FFFFFF"/>
            <w:noWrap w:val="0"/>
            <w:vAlign w:val="center"/>
          </w:tcPr>
          <w:p w14:paraId="3C746C9E">
            <w:pPr>
              <w:widowControl/>
              <w:jc w:val="center"/>
              <w:rPr>
                <w:rFonts w:ascii="宋体" w:hAnsi="宋体" w:cs="宋体"/>
                <w:color w:val="auto"/>
                <w:kern w:val="0"/>
              </w:rPr>
            </w:pPr>
            <w:r>
              <w:rPr>
                <w:rFonts w:hint="eastAsia" w:ascii="宋体" w:hAnsi="宋体" w:cs="宋体"/>
                <w:color w:val="auto"/>
                <w:kern w:val="0"/>
              </w:rPr>
              <w:t>5</w:t>
            </w:r>
          </w:p>
        </w:tc>
        <w:tc>
          <w:tcPr>
            <w:tcW w:w="738" w:type="dxa"/>
            <w:noWrap w:val="0"/>
            <w:vAlign w:val="center"/>
          </w:tcPr>
          <w:p w14:paraId="6C29B1BB">
            <w:pPr>
              <w:widowControl/>
              <w:jc w:val="center"/>
              <w:rPr>
                <w:rFonts w:ascii="宋体" w:hAnsi="宋体" w:cs="宋体"/>
                <w:color w:val="auto"/>
                <w:kern w:val="0"/>
              </w:rPr>
            </w:pPr>
            <w:r>
              <w:rPr>
                <w:rFonts w:hint="eastAsia" w:ascii="宋体" w:hAnsi="宋体" w:cs="宋体"/>
                <w:color w:val="auto"/>
                <w:kern w:val="0"/>
              </w:rPr>
              <w:t>　</w:t>
            </w:r>
          </w:p>
        </w:tc>
        <w:tc>
          <w:tcPr>
            <w:tcW w:w="787" w:type="dxa"/>
            <w:noWrap w:val="0"/>
            <w:vAlign w:val="center"/>
          </w:tcPr>
          <w:p w14:paraId="484FBAB5">
            <w:pPr>
              <w:widowControl/>
              <w:jc w:val="left"/>
              <w:rPr>
                <w:rFonts w:ascii="宋体" w:hAnsi="宋体" w:cs="宋体"/>
                <w:color w:val="auto"/>
                <w:kern w:val="0"/>
              </w:rPr>
            </w:pPr>
            <w:r>
              <w:rPr>
                <w:rFonts w:hint="eastAsia" w:ascii="宋体" w:hAnsi="宋体" w:cs="宋体"/>
                <w:color w:val="auto"/>
                <w:kern w:val="0"/>
              </w:rPr>
              <w:t>　</w:t>
            </w:r>
          </w:p>
        </w:tc>
      </w:tr>
      <w:tr w14:paraId="0A538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67" w:type="dxa"/>
            <w:shd w:val="clear" w:color="auto" w:fill="auto"/>
            <w:noWrap w:val="0"/>
            <w:vAlign w:val="center"/>
          </w:tcPr>
          <w:p w14:paraId="3D8A9790">
            <w:pPr>
              <w:widowControl/>
              <w:jc w:val="center"/>
              <w:rPr>
                <w:rFonts w:ascii="宋体" w:hAnsi="宋体" w:cs="宋体"/>
                <w:color w:val="auto"/>
                <w:kern w:val="0"/>
              </w:rPr>
            </w:pPr>
            <w:r>
              <w:rPr>
                <w:rFonts w:hint="eastAsia" w:ascii="宋体" w:hAnsi="宋体" w:cs="宋体"/>
                <w:color w:val="auto"/>
                <w:kern w:val="0"/>
              </w:rPr>
              <w:t>14</w:t>
            </w:r>
          </w:p>
        </w:tc>
        <w:tc>
          <w:tcPr>
            <w:tcW w:w="1100" w:type="dxa"/>
            <w:shd w:val="clear" w:color="auto" w:fill="auto"/>
            <w:noWrap w:val="0"/>
            <w:vAlign w:val="center"/>
          </w:tcPr>
          <w:p w14:paraId="75C7F4E6">
            <w:pPr>
              <w:widowControl/>
              <w:jc w:val="center"/>
              <w:rPr>
                <w:rFonts w:ascii="宋体" w:hAnsi="宋体" w:cs="宋体"/>
                <w:color w:val="auto"/>
                <w:kern w:val="0"/>
              </w:rPr>
            </w:pPr>
            <w:r>
              <w:rPr>
                <w:rFonts w:hint="eastAsia" w:ascii="宋体" w:hAnsi="宋体" w:cs="宋体"/>
                <w:color w:val="auto"/>
                <w:kern w:val="0"/>
              </w:rPr>
              <w:t>糕点制作</w:t>
            </w:r>
          </w:p>
        </w:tc>
        <w:tc>
          <w:tcPr>
            <w:tcW w:w="5025" w:type="dxa"/>
            <w:shd w:val="clear" w:color="000000" w:fill="FFFFFF"/>
            <w:noWrap w:val="0"/>
            <w:vAlign w:val="center"/>
          </w:tcPr>
          <w:p w14:paraId="1E492230">
            <w:pPr>
              <w:widowControl/>
              <w:jc w:val="left"/>
              <w:rPr>
                <w:rFonts w:ascii="宋体" w:hAnsi="宋体" w:cs="宋体"/>
                <w:color w:val="auto"/>
                <w:kern w:val="0"/>
              </w:rPr>
            </w:pPr>
            <w:r>
              <w:rPr>
                <w:rFonts w:hint="eastAsia" w:ascii="宋体" w:hAnsi="宋体" w:cs="宋体"/>
                <w:color w:val="auto"/>
                <w:kern w:val="0"/>
              </w:rPr>
              <w:t>每周客餐应做到有5个以上自制特色糕点，在色、香、味上得到就餐人员相应的肯定，果盘制作搭配合理、美观，同时严防浪费，未按要求执行，每次扣0.5分</w:t>
            </w:r>
          </w:p>
        </w:tc>
        <w:tc>
          <w:tcPr>
            <w:tcW w:w="887" w:type="dxa"/>
            <w:shd w:val="clear" w:color="000000" w:fill="FFFFFF"/>
            <w:noWrap w:val="0"/>
            <w:vAlign w:val="center"/>
          </w:tcPr>
          <w:p w14:paraId="2E87A974">
            <w:pPr>
              <w:widowControl/>
              <w:jc w:val="center"/>
              <w:rPr>
                <w:rFonts w:ascii="宋体" w:hAnsi="宋体" w:cs="宋体"/>
                <w:color w:val="auto"/>
                <w:kern w:val="0"/>
              </w:rPr>
            </w:pPr>
            <w:r>
              <w:rPr>
                <w:rFonts w:hint="eastAsia" w:ascii="宋体" w:hAnsi="宋体" w:cs="宋体"/>
                <w:color w:val="auto"/>
                <w:kern w:val="0"/>
              </w:rPr>
              <w:t>5</w:t>
            </w:r>
          </w:p>
        </w:tc>
        <w:tc>
          <w:tcPr>
            <w:tcW w:w="738" w:type="dxa"/>
            <w:noWrap w:val="0"/>
            <w:vAlign w:val="center"/>
          </w:tcPr>
          <w:p w14:paraId="3BC6E34C">
            <w:pPr>
              <w:widowControl/>
              <w:jc w:val="center"/>
              <w:rPr>
                <w:rFonts w:ascii="宋体" w:hAnsi="宋体" w:cs="宋体"/>
                <w:color w:val="auto"/>
                <w:kern w:val="0"/>
              </w:rPr>
            </w:pPr>
            <w:r>
              <w:rPr>
                <w:rFonts w:hint="eastAsia" w:ascii="宋体" w:hAnsi="宋体" w:cs="宋体"/>
                <w:color w:val="auto"/>
                <w:kern w:val="0"/>
              </w:rPr>
              <w:t>　</w:t>
            </w:r>
          </w:p>
        </w:tc>
        <w:tc>
          <w:tcPr>
            <w:tcW w:w="787" w:type="dxa"/>
            <w:noWrap w:val="0"/>
            <w:vAlign w:val="center"/>
          </w:tcPr>
          <w:p w14:paraId="30D2B374">
            <w:pPr>
              <w:widowControl/>
              <w:jc w:val="left"/>
              <w:rPr>
                <w:rFonts w:ascii="宋体" w:hAnsi="宋体" w:cs="宋体"/>
                <w:color w:val="auto"/>
                <w:kern w:val="0"/>
              </w:rPr>
            </w:pPr>
            <w:r>
              <w:rPr>
                <w:rFonts w:hint="eastAsia" w:ascii="宋体" w:hAnsi="宋体" w:cs="宋体"/>
                <w:color w:val="auto"/>
                <w:kern w:val="0"/>
              </w:rPr>
              <w:t>　</w:t>
            </w:r>
          </w:p>
        </w:tc>
      </w:tr>
      <w:tr w14:paraId="71C1F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jc w:val="center"/>
        </w:trPr>
        <w:tc>
          <w:tcPr>
            <w:tcW w:w="767" w:type="dxa"/>
            <w:shd w:val="clear" w:color="auto" w:fill="auto"/>
            <w:noWrap w:val="0"/>
            <w:vAlign w:val="center"/>
          </w:tcPr>
          <w:p w14:paraId="08168462">
            <w:pPr>
              <w:widowControl/>
              <w:jc w:val="center"/>
              <w:rPr>
                <w:rFonts w:ascii="宋体" w:hAnsi="宋体" w:cs="宋体"/>
                <w:color w:val="auto"/>
                <w:kern w:val="0"/>
              </w:rPr>
            </w:pPr>
            <w:r>
              <w:rPr>
                <w:rFonts w:hint="eastAsia" w:ascii="宋体" w:hAnsi="宋体" w:cs="宋体"/>
                <w:color w:val="auto"/>
                <w:kern w:val="0"/>
              </w:rPr>
              <w:t>15</w:t>
            </w:r>
          </w:p>
        </w:tc>
        <w:tc>
          <w:tcPr>
            <w:tcW w:w="1100" w:type="dxa"/>
            <w:shd w:val="clear" w:color="auto" w:fill="auto"/>
            <w:noWrap w:val="0"/>
            <w:vAlign w:val="center"/>
          </w:tcPr>
          <w:p w14:paraId="40780B04">
            <w:pPr>
              <w:widowControl/>
              <w:jc w:val="center"/>
              <w:rPr>
                <w:rFonts w:ascii="宋体" w:hAnsi="宋体" w:cs="宋体"/>
                <w:color w:val="auto"/>
                <w:kern w:val="0"/>
              </w:rPr>
            </w:pPr>
            <w:r>
              <w:rPr>
                <w:rFonts w:hint="eastAsia" w:ascii="宋体" w:hAnsi="宋体" w:cs="宋体"/>
                <w:color w:val="auto"/>
                <w:kern w:val="0"/>
              </w:rPr>
              <w:t>物资管理</w:t>
            </w:r>
          </w:p>
        </w:tc>
        <w:tc>
          <w:tcPr>
            <w:tcW w:w="5025" w:type="dxa"/>
            <w:shd w:val="clear" w:color="000000" w:fill="FFFFFF"/>
            <w:noWrap w:val="0"/>
            <w:vAlign w:val="center"/>
          </w:tcPr>
          <w:p w14:paraId="02A47817">
            <w:pPr>
              <w:widowControl/>
              <w:jc w:val="left"/>
              <w:rPr>
                <w:rFonts w:ascii="宋体" w:hAnsi="宋体" w:cs="宋体"/>
                <w:color w:val="auto"/>
                <w:kern w:val="0"/>
              </w:rPr>
            </w:pPr>
            <w:r>
              <w:rPr>
                <w:rFonts w:hint="eastAsia" w:ascii="宋体" w:hAnsi="宋体" w:cs="宋体"/>
                <w:color w:val="auto"/>
                <w:kern w:val="0"/>
              </w:rPr>
              <w:t>食堂相关易耗品的添置需求应做到准确、及时，并且严格控制使用，防止浪费，对原料的品质、纯度、成熟度、新鲜度，以及原料的清洁卫生等应严格把好质量关，做好入库登记，库房原料实行先进后出制，领料人必须填写发货单，双方确认无误后签字，不得弄虚作假，每违反一次扣1分。</w:t>
            </w:r>
          </w:p>
        </w:tc>
        <w:tc>
          <w:tcPr>
            <w:tcW w:w="887" w:type="dxa"/>
            <w:shd w:val="clear" w:color="000000" w:fill="FFFFFF"/>
            <w:noWrap w:val="0"/>
            <w:vAlign w:val="center"/>
          </w:tcPr>
          <w:p w14:paraId="30C25875">
            <w:pPr>
              <w:widowControl/>
              <w:jc w:val="center"/>
              <w:rPr>
                <w:rFonts w:ascii="宋体" w:hAnsi="宋体" w:cs="宋体"/>
                <w:color w:val="auto"/>
                <w:kern w:val="0"/>
              </w:rPr>
            </w:pPr>
            <w:r>
              <w:rPr>
                <w:rFonts w:hint="eastAsia" w:ascii="宋体" w:hAnsi="宋体" w:cs="宋体"/>
                <w:color w:val="auto"/>
                <w:kern w:val="0"/>
              </w:rPr>
              <w:t>5</w:t>
            </w:r>
          </w:p>
        </w:tc>
        <w:tc>
          <w:tcPr>
            <w:tcW w:w="738" w:type="dxa"/>
            <w:noWrap w:val="0"/>
            <w:vAlign w:val="center"/>
          </w:tcPr>
          <w:p w14:paraId="53F21B8E">
            <w:pPr>
              <w:widowControl/>
              <w:jc w:val="center"/>
              <w:rPr>
                <w:rFonts w:ascii="宋体" w:hAnsi="宋体" w:cs="宋体"/>
                <w:color w:val="auto"/>
                <w:kern w:val="0"/>
              </w:rPr>
            </w:pPr>
            <w:r>
              <w:rPr>
                <w:rFonts w:hint="eastAsia" w:ascii="宋体" w:hAnsi="宋体" w:cs="宋体"/>
                <w:color w:val="auto"/>
                <w:kern w:val="0"/>
              </w:rPr>
              <w:t>　</w:t>
            </w:r>
          </w:p>
        </w:tc>
        <w:tc>
          <w:tcPr>
            <w:tcW w:w="787" w:type="dxa"/>
            <w:noWrap w:val="0"/>
            <w:vAlign w:val="center"/>
          </w:tcPr>
          <w:p w14:paraId="3DC6AF3D">
            <w:pPr>
              <w:widowControl/>
              <w:jc w:val="left"/>
              <w:rPr>
                <w:rFonts w:ascii="宋体" w:hAnsi="宋体" w:cs="宋体"/>
                <w:color w:val="auto"/>
                <w:kern w:val="0"/>
              </w:rPr>
            </w:pPr>
            <w:r>
              <w:rPr>
                <w:rFonts w:hint="eastAsia" w:ascii="宋体" w:hAnsi="宋体" w:cs="宋体"/>
                <w:color w:val="auto"/>
                <w:kern w:val="0"/>
              </w:rPr>
              <w:t>　</w:t>
            </w:r>
          </w:p>
        </w:tc>
      </w:tr>
      <w:tr w14:paraId="6E5DC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67" w:type="dxa"/>
            <w:shd w:val="clear" w:color="auto" w:fill="auto"/>
            <w:noWrap w:val="0"/>
            <w:vAlign w:val="center"/>
          </w:tcPr>
          <w:p w14:paraId="1F8579CB">
            <w:pPr>
              <w:widowControl/>
              <w:jc w:val="center"/>
              <w:rPr>
                <w:rFonts w:ascii="宋体" w:hAnsi="宋体" w:cs="宋体"/>
                <w:color w:val="auto"/>
                <w:kern w:val="0"/>
              </w:rPr>
            </w:pPr>
            <w:r>
              <w:rPr>
                <w:rFonts w:hint="eastAsia" w:ascii="宋体" w:hAnsi="宋体" w:cs="宋体"/>
                <w:color w:val="auto"/>
                <w:kern w:val="0"/>
              </w:rPr>
              <w:t>16</w:t>
            </w:r>
          </w:p>
        </w:tc>
        <w:tc>
          <w:tcPr>
            <w:tcW w:w="1100" w:type="dxa"/>
            <w:shd w:val="clear" w:color="auto" w:fill="auto"/>
            <w:noWrap w:val="0"/>
            <w:vAlign w:val="center"/>
          </w:tcPr>
          <w:p w14:paraId="6D11A30E">
            <w:pPr>
              <w:widowControl/>
              <w:jc w:val="center"/>
              <w:rPr>
                <w:rFonts w:ascii="宋体" w:hAnsi="宋体" w:cs="宋体"/>
                <w:color w:val="auto"/>
                <w:kern w:val="0"/>
              </w:rPr>
            </w:pPr>
            <w:r>
              <w:rPr>
                <w:rFonts w:hint="eastAsia" w:ascii="宋体" w:hAnsi="宋体" w:cs="宋体"/>
                <w:color w:val="auto"/>
                <w:kern w:val="0"/>
              </w:rPr>
              <w:t>餐厅服务</w:t>
            </w:r>
          </w:p>
        </w:tc>
        <w:tc>
          <w:tcPr>
            <w:tcW w:w="5025" w:type="dxa"/>
            <w:shd w:val="clear" w:color="000000" w:fill="FFFFFF"/>
            <w:noWrap w:val="0"/>
            <w:vAlign w:val="center"/>
          </w:tcPr>
          <w:p w14:paraId="4123A3C3">
            <w:pPr>
              <w:widowControl/>
              <w:jc w:val="left"/>
              <w:rPr>
                <w:rFonts w:ascii="宋体" w:hAnsi="宋体" w:cs="宋体"/>
                <w:color w:val="auto"/>
                <w:kern w:val="0"/>
              </w:rPr>
            </w:pPr>
            <w:r>
              <w:rPr>
                <w:rFonts w:hint="eastAsia" w:ascii="宋体" w:hAnsi="宋体" w:cs="宋体"/>
                <w:color w:val="auto"/>
                <w:kern w:val="0"/>
              </w:rPr>
              <w:t>开餐前物品摆放，餐桌摆台等及时规范，餐中服务：礼仪规范、服务准确；餐后工作：及时和就餐人员核对账单，每月２６日前将本月就餐报表报到警保处、根据卫生标准彻底清理餐厅并做好下次用餐的准备工作。未达到要求每一次扣0.5分；</w:t>
            </w:r>
          </w:p>
        </w:tc>
        <w:tc>
          <w:tcPr>
            <w:tcW w:w="887" w:type="dxa"/>
            <w:shd w:val="clear" w:color="000000" w:fill="FFFFFF"/>
            <w:noWrap w:val="0"/>
            <w:vAlign w:val="center"/>
          </w:tcPr>
          <w:p w14:paraId="332BF45B">
            <w:pPr>
              <w:widowControl/>
              <w:jc w:val="center"/>
              <w:rPr>
                <w:rFonts w:ascii="宋体" w:hAnsi="宋体" w:cs="宋体"/>
                <w:color w:val="auto"/>
                <w:kern w:val="0"/>
              </w:rPr>
            </w:pPr>
            <w:r>
              <w:rPr>
                <w:rFonts w:hint="eastAsia" w:ascii="宋体" w:hAnsi="宋体" w:cs="宋体"/>
                <w:color w:val="auto"/>
                <w:kern w:val="0"/>
              </w:rPr>
              <w:t>10</w:t>
            </w:r>
          </w:p>
        </w:tc>
        <w:tc>
          <w:tcPr>
            <w:tcW w:w="738" w:type="dxa"/>
            <w:noWrap w:val="0"/>
            <w:vAlign w:val="center"/>
          </w:tcPr>
          <w:p w14:paraId="7B928CAA">
            <w:pPr>
              <w:widowControl/>
              <w:jc w:val="center"/>
              <w:rPr>
                <w:rFonts w:ascii="宋体" w:hAnsi="宋体" w:cs="宋体"/>
                <w:color w:val="auto"/>
                <w:kern w:val="0"/>
              </w:rPr>
            </w:pPr>
            <w:r>
              <w:rPr>
                <w:rFonts w:hint="eastAsia" w:ascii="宋体" w:hAnsi="宋体" w:cs="宋体"/>
                <w:color w:val="auto"/>
                <w:kern w:val="0"/>
              </w:rPr>
              <w:t>　</w:t>
            </w:r>
          </w:p>
        </w:tc>
        <w:tc>
          <w:tcPr>
            <w:tcW w:w="787" w:type="dxa"/>
            <w:noWrap w:val="0"/>
            <w:vAlign w:val="center"/>
          </w:tcPr>
          <w:p w14:paraId="474083A9">
            <w:pPr>
              <w:widowControl/>
              <w:jc w:val="left"/>
              <w:rPr>
                <w:rFonts w:ascii="宋体" w:hAnsi="宋体" w:cs="宋体"/>
                <w:color w:val="auto"/>
                <w:kern w:val="0"/>
              </w:rPr>
            </w:pPr>
            <w:r>
              <w:rPr>
                <w:rFonts w:hint="eastAsia" w:ascii="宋体" w:hAnsi="宋体" w:cs="宋体"/>
                <w:color w:val="auto"/>
                <w:kern w:val="0"/>
              </w:rPr>
              <w:t>　</w:t>
            </w:r>
          </w:p>
        </w:tc>
      </w:tr>
      <w:tr w14:paraId="3FAC6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67" w:type="dxa"/>
            <w:shd w:val="clear" w:color="auto" w:fill="auto"/>
            <w:noWrap w:val="0"/>
            <w:vAlign w:val="center"/>
          </w:tcPr>
          <w:p w14:paraId="387121A5">
            <w:pPr>
              <w:widowControl/>
              <w:jc w:val="center"/>
              <w:rPr>
                <w:rFonts w:ascii="宋体" w:hAnsi="宋体" w:cs="宋体"/>
                <w:color w:val="auto"/>
                <w:kern w:val="0"/>
              </w:rPr>
            </w:pPr>
            <w:r>
              <w:rPr>
                <w:rFonts w:hint="eastAsia" w:ascii="宋体" w:hAnsi="宋体" w:cs="宋体"/>
                <w:color w:val="auto"/>
                <w:kern w:val="0"/>
              </w:rPr>
              <w:t>17</w:t>
            </w:r>
          </w:p>
        </w:tc>
        <w:tc>
          <w:tcPr>
            <w:tcW w:w="1100" w:type="dxa"/>
            <w:shd w:val="clear" w:color="auto" w:fill="auto"/>
            <w:noWrap w:val="0"/>
            <w:vAlign w:val="center"/>
          </w:tcPr>
          <w:p w14:paraId="697EECB6">
            <w:pPr>
              <w:widowControl/>
              <w:jc w:val="center"/>
              <w:rPr>
                <w:rFonts w:ascii="宋体" w:hAnsi="宋体" w:cs="宋体"/>
                <w:color w:val="auto"/>
                <w:kern w:val="0"/>
              </w:rPr>
            </w:pPr>
            <w:r>
              <w:rPr>
                <w:rFonts w:hint="eastAsia" w:ascii="宋体" w:hAnsi="宋体" w:cs="宋体"/>
                <w:color w:val="auto"/>
                <w:kern w:val="0"/>
              </w:rPr>
              <w:t>相关工作</w:t>
            </w:r>
          </w:p>
        </w:tc>
        <w:tc>
          <w:tcPr>
            <w:tcW w:w="5025" w:type="dxa"/>
            <w:shd w:val="clear" w:color="000000" w:fill="FFFFFF"/>
            <w:noWrap w:val="0"/>
            <w:vAlign w:val="center"/>
          </w:tcPr>
          <w:p w14:paraId="42DFAE3B">
            <w:pPr>
              <w:widowControl/>
              <w:jc w:val="left"/>
              <w:rPr>
                <w:rFonts w:ascii="宋体" w:hAnsi="宋体" w:cs="宋体"/>
                <w:color w:val="auto"/>
                <w:kern w:val="0"/>
              </w:rPr>
            </w:pPr>
            <w:r>
              <w:rPr>
                <w:rFonts w:hint="eastAsia" w:ascii="宋体" w:hAnsi="宋体" w:cs="宋体"/>
                <w:color w:val="auto"/>
                <w:kern w:val="0"/>
              </w:rPr>
              <w:t>做好市机关事务管理局的检查和创文创卫相关工作，为按要求落实的每次扣0.5分。</w:t>
            </w:r>
          </w:p>
        </w:tc>
        <w:tc>
          <w:tcPr>
            <w:tcW w:w="887" w:type="dxa"/>
            <w:shd w:val="clear" w:color="000000" w:fill="FFFFFF"/>
            <w:noWrap w:val="0"/>
            <w:vAlign w:val="center"/>
          </w:tcPr>
          <w:p w14:paraId="4CD8C0C4">
            <w:pPr>
              <w:widowControl/>
              <w:jc w:val="center"/>
              <w:rPr>
                <w:rFonts w:ascii="宋体" w:hAnsi="宋体" w:cs="宋体"/>
                <w:color w:val="auto"/>
                <w:kern w:val="0"/>
              </w:rPr>
            </w:pPr>
            <w:r>
              <w:rPr>
                <w:rFonts w:hint="eastAsia" w:ascii="宋体" w:hAnsi="宋体" w:cs="宋体"/>
                <w:color w:val="auto"/>
                <w:kern w:val="0"/>
              </w:rPr>
              <w:t>5</w:t>
            </w:r>
          </w:p>
        </w:tc>
        <w:tc>
          <w:tcPr>
            <w:tcW w:w="738" w:type="dxa"/>
            <w:noWrap w:val="0"/>
            <w:vAlign w:val="center"/>
          </w:tcPr>
          <w:p w14:paraId="3B1BCEED">
            <w:pPr>
              <w:widowControl/>
              <w:jc w:val="center"/>
              <w:rPr>
                <w:rFonts w:ascii="宋体" w:hAnsi="宋体" w:cs="宋体"/>
                <w:color w:val="auto"/>
                <w:kern w:val="0"/>
              </w:rPr>
            </w:pPr>
            <w:r>
              <w:rPr>
                <w:rFonts w:hint="eastAsia" w:ascii="宋体" w:hAnsi="宋体" w:cs="宋体"/>
                <w:color w:val="auto"/>
                <w:kern w:val="0"/>
              </w:rPr>
              <w:t>　</w:t>
            </w:r>
          </w:p>
        </w:tc>
        <w:tc>
          <w:tcPr>
            <w:tcW w:w="787" w:type="dxa"/>
            <w:noWrap w:val="0"/>
            <w:vAlign w:val="center"/>
          </w:tcPr>
          <w:p w14:paraId="5A5AC63A">
            <w:pPr>
              <w:widowControl/>
              <w:jc w:val="left"/>
              <w:rPr>
                <w:rFonts w:ascii="宋体" w:hAnsi="宋体" w:cs="宋体"/>
                <w:color w:val="auto"/>
                <w:kern w:val="0"/>
              </w:rPr>
            </w:pPr>
            <w:r>
              <w:rPr>
                <w:rFonts w:hint="eastAsia" w:ascii="宋体" w:hAnsi="宋体" w:cs="宋体"/>
                <w:color w:val="auto"/>
                <w:kern w:val="0"/>
              </w:rPr>
              <w:t>　</w:t>
            </w:r>
          </w:p>
        </w:tc>
      </w:tr>
      <w:tr w14:paraId="306CB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892" w:type="dxa"/>
            <w:gridSpan w:val="3"/>
            <w:shd w:val="clear" w:color="auto" w:fill="auto"/>
            <w:noWrap w:val="0"/>
            <w:vAlign w:val="center"/>
          </w:tcPr>
          <w:p w14:paraId="01C92767">
            <w:pPr>
              <w:widowControl/>
              <w:jc w:val="center"/>
              <w:rPr>
                <w:rFonts w:ascii="宋体" w:hAnsi="宋体" w:cs="宋体"/>
                <w:color w:val="auto"/>
                <w:kern w:val="0"/>
              </w:rPr>
            </w:pPr>
            <w:r>
              <w:rPr>
                <w:rFonts w:hint="eastAsia" w:ascii="宋体" w:hAnsi="宋体" w:cs="宋体"/>
                <w:color w:val="auto"/>
                <w:kern w:val="0"/>
              </w:rPr>
              <w:t>合计</w:t>
            </w:r>
          </w:p>
        </w:tc>
        <w:tc>
          <w:tcPr>
            <w:tcW w:w="887" w:type="dxa"/>
            <w:shd w:val="clear" w:color="000000" w:fill="FFFFFF"/>
            <w:noWrap w:val="0"/>
            <w:vAlign w:val="center"/>
          </w:tcPr>
          <w:p w14:paraId="379A45F0">
            <w:pPr>
              <w:widowControl/>
              <w:jc w:val="center"/>
              <w:rPr>
                <w:rFonts w:ascii="宋体" w:hAnsi="宋体" w:cs="宋体"/>
                <w:color w:val="auto"/>
                <w:kern w:val="0"/>
              </w:rPr>
            </w:pPr>
            <w:r>
              <w:rPr>
                <w:rFonts w:hint="eastAsia" w:ascii="宋体" w:hAnsi="宋体" w:cs="宋体"/>
                <w:color w:val="auto"/>
                <w:kern w:val="0"/>
              </w:rPr>
              <w:t>100</w:t>
            </w:r>
          </w:p>
        </w:tc>
        <w:tc>
          <w:tcPr>
            <w:tcW w:w="738" w:type="dxa"/>
            <w:noWrap w:val="0"/>
            <w:vAlign w:val="center"/>
          </w:tcPr>
          <w:p w14:paraId="12BB658E">
            <w:pPr>
              <w:widowControl/>
              <w:jc w:val="center"/>
              <w:rPr>
                <w:rFonts w:ascii="宋体" w:hAnsi="宋体" w:cs="宋体"/>
                <w:color w:val="auto"/>
                <w:kern w:val="0"/>
              </w:rPr>
            </w:pPr>
            <w:r>
              <w:rPr>
                <w:rFonts w:hint="eastAsia" w:ascii="宋体" w:hAnsi="宋体" w:cs="宋体"/>
                <w:color w:val="auto"/>
                <w:kern w:val="0"/>
              </w:rPr>
              <w:t>　</w:t>
            </w:r>
          </w:p>
        </w:tc>
        <w:tc>
          <w:tcPr>
            <w:tcW w:w="787" w:type="dxa"/>
            <w:noWrap w:val="0"/>
            <w:vAlign w:val="center"/>
          </w:tcPr>
          <w:p w14:paraId="6420DFAE">
            <w:pPr>
              <w:widowControl/>
              <w:jc w:val="left"/>
              <w:rPr>
                <w:rFonts w:ascii="宋体" w:hAnsi="宋体" w:cs="宋体"/>
                <w:color w:val="auto"/>
                <w:kern w:val="0"/>
              </w:rPr>
            </w:pPr>
            <w:r>
              <w:rPr>
                <w:rFonts w:hint="eastAsia" w:ascii="宋体" w:hAnsi="宋体" w:cs="宋体"/>
                <w:color w:val="auto"/>
                <w:kern w:val="0"/>
              </w:rPr>
              <w:t>　</w:t>
            </w:r>
          </w:p>
        </w:tc>
      </w:tr>
      <w:tr w14:paraId="3C4D9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304" w:type="dxa"/>
            <w:gridSpan w:val="6"/>
            <w:noWrap w:val="0"/>
            <w:vAlign w:val="center"/>
          </w:tcPr>
          <w:p w14:paraId="6053F509">
            <w:pPr>
              <w:widowControl/>
              <w:jc w:val="left"/>
              <w:rPr>
                <w:rFonts w:ascii="宋体" w:hAnsi="宋体" w:cs="宋体"/>
                <w:color w:val="auto"/>
                <w:kern w:val="0"/>
              </w:rPr>
            </w:pPr>
            <w:r>
              <w:rPr>
                <w:rFonts w:hint="eastAsia" w:ascii="宋体" w:hAnsi="宋体" w:cs="宋体"/>
                <w:color w:val="auto"/>
                <w:kern w:val="0"/>
              </w:rPr>
              <w:t>被考核人签名：                     项目主管签名：                   食堂负责人签名：</w:t>
            </w:r>
          </w:p>
        </w:tc>
      </w:tr>
    </w:tbl>
    <w:p w14:paraId="779B2E64">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4"/>
          <w:szCs w:val="24"/>
          <w:highlight w:val="none"/>
          <w:lang w:eastAsia="zh-CN"/>
        </w:rPr>
        <w:t>十</w:t>
      </w:r>
      <w:r>
        <w:rPr>
          <w:rFonts w:hint="eastAsia" w:ascii="宋体" w:hAnsi="宋体" w:eastAsia="宋体" w:cs="宋体"/>
          <w:b/>
          <w:bCs/>
          <w:color w:val="auto"/>
          <w:sz w:val="21"/>
          <w:szCs w:val="21"/>
          <w:highlight w:val="none"/>
          <w:lang w:val="en-US" w:eastAsia="zh-CN"/>
        </w:rPr>
        <w:t>、采购标的对应的中小企业划分标准所属行业一览表</w:t>
      </w:r>
    </w:p>
    <w:tbl>
      <w:tblPr>
        <w:tblStyle w:val="9"/>
        <w:tblW w:w="8990" w:type="dxa"/>
        <w:jc w:val="center"/>
        <w:tblCellSpacing w:w="0" w:type="dxa"/>
        <w:tblLayout w:type="fixed"/>
        <w:tblCellMar>
          <w:top w:w="0" w:type="dxa"/>
          <w:left w:w="108" w:type="dxa"/>
          <w:bottom w:w="0" w:type="dxa"/>
          <w:right w:w="108" w:type="dxa"/>
        </w:tblCellMar>
      </w:tblPr>
      <w:tblGrid>
        <w:gridCol w:w="1073"/>
        <w:gridCol w:w="4125"/>
        <w:gridCol w:w="3792"/>
      </w:tblGrid>
      <w:tr w14:paraId="7ABD4D86">
        <w:tblPrEx>
          <w:tblCellMar>
            <w:top w:w="0" w:type="dxa"/>
            <w:left w:w="108" w:type="dxa"/>
            <w:bottom w:w="0" w:type="dxa"/>
            <w:right w:w="108" w:type="dxa"/>
          </w:tblCellMar>
        </w:tblPrEx>
        <w:trPr>
          <w:tblCellSpacing w:w="0" w:type="dxa"/>
          <w:jc w:val="center"/>
        </w:trPr>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6997B">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序号</w:t>
            </w:r>
          </w:p>
        </w:tc>
        <w:tc>
          <w:tcPr>
            <w:tcW w:w="4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10F4D">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采购标的</w:t>
            </w:r>
          </w:p>
        </w:tc>
        <w:tc>
          <w:tcPr>
            <w:tcW w:w="3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47A95">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对应中小企业划分标准所属行业</w:t>
            </w:r>
          </w:p>
        </w:tc>
      </w:tr>
      <w:tr w14:paraId="6E329D5D">
        <w:tblPrEx>
          <w:tblCellMar>
            <w:top w:w="0" w:type="dxa"/>
            <w:left w:w="108" w:type="dxa"/>
            <w:bottom w:w="0" w:type="dxa"/>
            <w:right w:w="108" w:type="dxa"/>
          </w:tblCellMar>
        </w:tblPrEx>
        <w:trPr>
          <w:trHeight w:val="291" w:hRule="atLeast"/>
          <w:tblCellSpacing w:w="0" w:type="dxa"/>
          <w:jc w:val="center"/>
        </w:trPr>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5F2FB">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4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42D38">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none"/>
                <w:lang w:eastAsia="zh-CN"/>
              </w:rPr>
              <w:t>盐城市公安局盐南高新技术产业开发区分局食堂外包服务项目</w:t>
            </w:r>
          </w:p>
        </w:tc>
        <w:tc>
          <w:tcPr>
            <w:tcW w:w="3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4FD23">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餐饮业</w:t>
            </w:r>
          </w:p>
        </w:tc>
      </w:tr>
    </w:tbl>
    <w:p w14:paraId="229D7010">
      <w:pPr>
        <w:bidi w:val="0"/>
        <w:rPr>
          <w:rFonts w:hint="eastAsia"/>
          <w:color w:val="auto"/>
        </w:rPr>
      </w:pPr>
      <w:bookmarkStart w:id="180" w:name="_Toc120614281"/>
    </w:p>
    <w:p w14:paraId="6EB180CA">
      <w:pPr>
        <w:bidi w:val="0"/>
        <w:rPr>
          <w:rFonts w:hint="eastAsia"/>
          <w:color w:val="auto"/>
        </w:rPr>
      </w:pPr>
    </w:p>
    <w:p w14:paraId="472ED02F">
      <w:pPr>
        <w:bidi w:val="0"/>
        <w:rPr>
          <w:rFonts w:hint="eastAsia"/>
          <w:color w:val="auto"/>
        </w:rPr>
      </w:pPr>
    </w:p>
    <w:p w14:paraId="628A1AA9">
      <w:pPr>
        <w:bidi w:val="0"/>
        <w:rPr>
          <w:rFonts w:hint="eastAsia"/>
          <w:color w:val="auto"/>
        </w:rPr>
      </w:pPr>
    </w:p>
    <w:p w14:paraId="1E54B1C3">
      <w:pPr>
        <w:bidi w:val="0"/>
        <w:rPr>
          <w:rFonts w:hint="eastAsia"/>
          <w:color w:val="auto"/>
        </w:rPr>
      </w:pPr>
    </w:p>
    <w:p w14:paraId="42267199">
      <w:pPr>
        <w:bidi w:val="0"/>
        <w:rPr>
          <w:rFonts w:hint="eastAsia"/>
          <w:color w:val="auto"/>
        </w:rPr>
      </w:pPr>
    </w:p>
    <w:p w14:paraId="60BD4ACA">
      <w:pPr>
        <w:bidi w:val="0"/>
        <w:rPr>
          <w:rFonts w:hint="eastAsia"/>
          <w:color w:val="auto"/>
        </w:rPr>
      </w:pPr>
    </w:p>
    <w:p w14:paraId="64025E67">
      <w:pPr>
        <w:bidi w:val="0"/>
        <w:rPr>
          <w:rFonts w:hint="eastAsia"/>
          <w:color w:val="auto"/>
        </w:rPr>
      </w:pPr>
    </w:p>
    <w:p w14:paraId="0AF511F2">
      <w:pPr>
        <w:bidi w:val="0"/>
        <w:rPr>
          <w:rFonts w:hint="eastAsia"/>
          <w:color w:val="auto"/>
        </w:rPr>
      </w:pPr>
    </w:p>
    <w:p w14:paraId="1C478AE1">
      <w:pPr>
        <w:bidi w:val="0"/>
        <w:rPr>
          <w:rFonts w:hint="eastAsia"/>
          <w:color w:val="auto"/>
        </w:rPr>
      </w:pPr>
    </w:p>
    <w:p w14:paraId="2FA555C3">
      <w:pPr>
        <w:bidi w:val="0"/>
        <w:rPr>
          <w:rFonts w:hint="eastAsia"/>
          <w:color w:val="auto"/>
        </w:rPr>
      </w:pPr>
    </w:p>
    <w:p w14:paraId="60622681">
      <w:pPr>
        <w:bidi w:val="0"/>
        <w:rPr>
          <w:rFonts w:hint="eastAsia"/>
          <w:color w:val="auto"/>
        </w:rPr>
      </w:pPr>
    </w:p>
    <w:p w14:paraId="519AEF25">
      <w:pPr>
        <w:bidi w:val="0"/>
        <w:rPr>
          <w:rFonts w:hint="eastAsia"/>
          <w:color w:val="auto"/>
        </w:rPr>
      </w:pPr>
    </w:p>
    <w:p w14:paraId="05138268">
      <w:pPr>
        <w:bidi w:val="0"/>
        <w:rPr>
          <w:rFonts w:hint="eastAsia"/>
          <w:color w:val="auto"/>
        </w:rPr>
      </w:pPr>
    </w:p>
    <w:p w14:paraId="23AE4FDE">
      <w:pPr>
        <w:bidi w:val="0"/>
        <w:rPr>
          <w:rFonts w:hint="eastAsia"/>
          <w:color w:val="auto"/>
        </w:rPr>
      </w:pPr>
    </w:p>
    <w:p w14:paraId="301A37B8">
      <w:pPr>
        <w:bidi w:val="0"/>
        <w:rPr>
          <w:rFonts w:hint="eastAsia"/>
          <w:color w:val="auto"/>
        </w:rPr>
      </w:pPr>
    </w:p>
    <w:p w14:paraId="51C51812">
      <w:pPr>
        <w:bidi w:val="0"/>
        <w:rPr>
          <w:rFonts w:hint="eastAsia"/>
          <w:color w:val="auto"/>
        </w:rPr>
      </w:pPr>
    </w:p>
    <w:p w14:paraId="1FF278D1">
      <w:pPr>
        <w:bidi w:val="0"/>
        <w:rPr>
          <w:rFonts w:hint="eastAsia"/>
          <w:color w:val="auto"/>
        </w:rPr>
      </w:pPr>
    </w:p>
    <w:p w14:paraId="561310EF">
      <w:pPr>
        <w:bidi w:val="0"/>
        <w:rPr>
          <w:rFonts w:hint="eastAsia"/>
          <w:color w:val="auto"/>
        </w:rPr>
      </w:pPr>
    </w:p>
    <w:p w14:paraId="04C59992">
      <w:pPr>
        <w:bidi w:val="0"/>
        <w:rPr>
          <w:rFonts w:hint="eastAsia"/>
          <w:color w:val="auto"/>
        </w:rPr>
      </w:pPr>
    </w:p>
    <w:p w14:paraId="010378C0">
      <w:pPr>
        <w:bidi w:val="0"/>
        <w:rPr>
          <w:rFonts w:hint="eastAsia"/>
          <w:color w:val="auto"/>
        </w:rPr>
      </w:pPr>
    </w:p>
    <w:p w14:paraId="70CE0ECE">
      <w:pPr>
        <w:bidi w:val="0"/>
        <w:rPr>
          <w:rFonts w:hint="eastAsia"/>
          <w:color w:val="auto"/>
        </w:rPr>
      </w:pPr>
    </w:p>
    <w:p w14:paraId="5EC8BAB7">
      <w:pPr>
        <w:bidi w:val="0"/>
        <w:rPr>
          <w:rFonts w:hint="eastAsia"/>
          <w:color w:val="auto"/>
        </w:rPr>
      </w:pPr>
    </w:p>
    <w:p w14:paraId="4561B22B">
      <w:pPr>
        <w:bidi w:val="0"/>
        <w:rPr>
          <w:rFonts w:hint="eastAsia"/>
          <w:color w:val="auto"/>
        </w:rPr>
      </w:pPr>
    </w:p>
    <w:p w14:paraId="183FA97F">
      <w:pPr>
        <w:bidi w:val="0"/>
        <w:rPr>
          <w:rFonts w:hint="eastAsia"/>
          <w:color w:val="auto"/>
        </w:rPr>
      </w:pPr>
    </w:p>
    <w:p w14:paraId="26DDB2F0">
      <w:pPr>
        <w:bidi w:val="0"/>
        <w:rPr>
          <w:rFonts w:hint="eastAsia"/>
          <w:color w:val="auto"/>
        </w:rPr>
      </w:pPr>
    </w:p>
    <w:p w14:paraId="03DE00D9">
      <w:pPr>
        <w:bidi w:val="0"/>
        <w:rPr>
          <w:rFonts w:hint="eastAsia"/>
          <w:color w:val="auto"/>
        </w:rPr>
      </w:pPr>
    </w:p>
    <w:p w14:paraId="47F2ABB2">
      <w:pPr>
        <w:bidi w:val="0"/>
        <w:rPr>
          <w:rFonts w:hint="eastAsia"/>
          <w:color w:val="auto"/>
        </w:rPr>
      </w:pPr>
    </w:p>
    <w:p w14:paraId="3968BB64">
      <w:pPr>
        <w:bidi w:val="0"/>
        <w:rPr>
          <w:rFonts w:hint="eastAsia"/>
          <w:color w:val="auto"/>
        </w:rPr>
      </w:pPr>
    </w:p>
    <w:p w14:paraId="6D1451F5">
      <w:pPr>
        <w:bidi w:val="0"/>
        <w:rPr>
          <w:rFonts w:hint="eastAsia"/>
          <w:color w:val="auto"/>
        </w:rPr>
      </w:pPr>
    </w:p>
    <w:p w14:paraId="5EC93D05">
      <w:pPr>
        <w:bidi w:val="0"/>
        <w:rPr>
          <w:rFonts w:hint="eastAsia"/>
          <w:color w:val="auto"/>
        </w:rPr>
      </w:pPr>
    </w:p>
    <w:p w14:paraId="3E765910">
      <w:pPr>
        <w:bidi w:val="0"/>
        <w:rPr>
          <w:rFonts w:hint="eastAsia"/>
          <w:color w:val="auto"/>
        </w:rPr>
      </w:pPr>
    </w:p>
    <w:p w14:paraId="7B904178">
      <w:pPr>
        <w:bidi w:val="0"/>
        <w:rPr>
          <w:rFonts w:hint="eastAsia"/>
          <w:color w:val="auto"/>
        </w:rPr>
      </w:pPr>
    </w:p>
    <w:p w14:paraId="1BF204A4">
      <w:pPr>
        <w:bidi w:val="0"/>
        <w:rPr>
          <w:rFonts w:hint="eastAsia"/>
          <w:color w:val="auto"/>
        </w:rPr>
      </w:pPr>
    </w:p>
    <w:p w14:paraId="52B95946">
      <w:pPr>
        <w:bidi w:val="0"/>
        <w:rPr>
          <w:rFonts w:hint="eastAsia"/>
          <w:color w:val="auto"/>
        </w:rPr>
      </w:pPr>
    </w:p>
    <w:p w14:paraId="6F318AF3">
      <w:pPr>
        <w:pStyle w:val="7"/>
        <w:keepNext/>
        <w:spacing w:beforeAutospacing="0" w:afterAutospacing="0"/>
        <w:jc w:val="center"/>
        <w:rPr>
          <w:color w:val="auto"/>
          <w:highlight w:val="none"/>
        </w:rPr>
      </w:pPr>
      <w:r>
        <w:rPr>
          <w:rFonts w:hint="eastAsia" w:ascii="黑体" w:hAnsi="宋体" w:eastAsia="黑体" w:cs="黑体"/>
          <w:color w:val="auto"/>
          <w:sz w:val="44"/>
          <w:szCs w:val="44"/>
          <w:highlight w:val="none"/>
        </w:rPr>
        <w:t>第五章 </w:t>
      </w:r>
      <w:r>
        <w:rPr>
          <w:rFonts w:hint="eastAsia" w:ascii="黑体" w:hAnsi="宋体" w:eastAsia="黑体" w:cs="黑体"/>
          <w:b/>
          <w:color w:val="auto"/>
          <w:sz w:val="44"/>
          <w:szCs w:val="44"/>
          <w:highlight w:val="none"/>
        </w:rPr>
        <w:t>评标方法与评标标准</w:t>
      </w:r>
    </w:p>
    <w:p w14:paraId="447B7459">
      <w:pPr>
        <w:spacing w:line="5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一、定标原则</w:t>
      </w:r>
    </w:p>
    <w:p w14:paraId="74D8E916">
      <w:pPr>
        <w:spacing w:line="54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bCs/>
          <w:color w:val="auto"/>
          <w:sz w:val="21"/>
          <w:szCs w:val="21"/>
          <w:highlight w:val="none"/>
        </w:rPr>
        <w:t>本项目采用</w:t>
      </w:r>
      <w:r>
        <w:rPr>
          <w:rFonts w:hint="eastAsia" w:ascii="宋体" w:hAnsi="宋体" w:eastAsia="宋体" w:cs="宋体"/>
          <w:bCs/>
          <w:color w:val="auto"/>
          <w:sz w:val="21"/>
          <w:szCs w:val="21"/>
          <w:highlight w:val="none"/>
          <w:u w:val="single"/>
        </w:rPr>
        <w:t>综合评分</w:t>
      </w:r>
      <w:r>
        <w:rPr>
          <w:rFonts w:hint="eastAsia" w:ascii="宋体" w:hAnsi="宋体" w:eastAsia="宋体" w:cs="宋体"/>
          <w:bCs/>
          <w:color w:val="auto"/>
          <w:sz w:val="21"/>
          <w:szCs w:val="21"/>
          <w:highlight w:val="none"/>
        </w:rPr>
        <w:t>法</w:t>
      </w:r>
      <w:r>
        <w:rPr>
          <w:rFonts w:hint="eastAsia" w:ascii="宋体" w:hAnsi="宋体" w:eastAsia="宋体" w:cs="宋体"/>
          <w:bCs/>
          <w:color w:val="auto"/>
          <w:sz w:val="21"/>
          <w:szCs w:val="21"/>
          <w:highlight w:val="none"/>
          <w:lang w:eastAsia="zh-CN"/>
        </w:rPr>
        <w:t>，</w:t>
      </w:r>
      <w:r>
        <w:rPr>
          <w:rFonts w:hint="eastAsia" w:ascii="宋体" w:hAnsi="宋体" w:eastAsia="宋体" w:cs="宋体"/>
          <w:color w:val="auto"/>
          <w:kern w:val="0"/>
          <w:sz w:val="21"/>
          <w:szCs w:val="21"/>
          <w:highlight w:val="none"/>
        </w:rPr>
        <w:t>评标结果按评审后得分由高到低顺序排列。得分相同的，按投标报价由低到高顺序排列。得分且投标报价相同的</w:t>
      </w:r>
      <w:r>
        <w:rPr>
          <w:rFonts w:hint="eastAsia" w:ascii="宋体" w:hAnsi="宋体" w:eastAsia="宋体" w:cs="宋体"/>
          <w:color w:val="auto"/>
          <w:kern w:val="0"/>
          <w:sz w:val="21"/>
          <w:szCs w:val="21"/>
          <w:highlight w:val="none"/>
          <w:lang w:val="en-US" w:eastAsia="zh-CN"/>
        </w:rPr>
        <w:t>并列</w:t>
      </w:r>
      <w:r>
        <w:rPr>
          <w:rFonts w:hint="eastAsia" w:ascii="宋体" w:hAnsi="宋体" w:eastAsia="宋体" w:cs="宋体"/>
          <w:color w:val="auto"/>
          <w:kern w:val="0"/>
          <w:sz w:val="21"/>
          <w:szCs w:val="21"/>
          <w:highlight w:val="none"/>
        </w:rPr>
        <w:t>。投标文件满足招标文件全部实质性要求，且按照评审因素的量化指标评审得分最高的投标人为排名第一的中标候选人，本项目选取1名中标候选人。</w:t>
      </w:r>
    </w:p>
    <w:p w14:paraId="27D6208A">
      <w:pPr>
        <w:spacing w:line="540" w:lineRule="exact"/>
        <w:ind w:firstLine="422" w:firstLineChars="200"/>
        <w:rPr>
          <w:rFonts w:hint="eastAsia" w:ascii="宋体" w:hAnsi="宋体" w:eastAsia="宋体" w:cs="宋体"/>
          <w:color w:val="auto"/>
          <w:highlight w:val="none"/>
        </w:rPr>
      </w:pPr>
      <w:r>
        <w:rPr>
          <w:rFonts w:hint="eastAsia" w:ascii="宋体" w:hAnsi="宋体" w:eastAsia="宋体" w:cs="宋体"/>
          <w:b/>
          <w:color w:val="auto"/>
          <w:highlight w:val="none"/>
        </w:rPr>
        <w:t>政府采购政策功能落实</w:t>
      </w:r>
    </w:p>
    <w:p w14:paraId="001BA7BF">
      <w:pPr>
        <w:spacing w:line="5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小微型企业价格扣除</w:t>
      </w:r>
    </w:p>
    <w:p w14:paraId="6FBA6334">
      <w:pPr>
        <w:pStyle w:val="16"/>
        <w:ind w:firstLine="315" w:firstLineChars="150"/>
        <w:rPr>
          <w:rFonts w:hint="eastAsia" w:ascii="宋体" w:hAnsi="宋体" w:eastAsia="宋体" w:cs="宋体"/>
          <w:color w:val="auto"/>
          <w:highlight w:val="none"/>
        </w:rPr>
      </w:pPr>
      <w:r>
        <w:rPr>
          <w:rFonts w:hint="eastAsia" w:ascii="宋体" w:hAnsi="宋体" w:eastAsia="宋体" w:cs="宋体"/>
          <w:color w:val="auto"/>
          <w:kern w:val="2"/>
          <w:sz w:val="21"/>
          <w:szCs w:val="24"/>
          <w:highlight w:val="none"/>
          <w:lang w:val="en-US" w:eastAsia="zh-CN" w:bidi="ar-SA"/>
        </w:rPr>
        <w:t>（1）本项目专门面向中小企业采购，不再对小型和微型企业报价给予价格扣除。</w:t>
      </w:r>
    </w:p>
    <w:p w14:paraId="7E3E9DBA">
      <w:pPr>
        <w:spacing w:line="5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（2）供应商需按照采购文件的要求提供相应的《</w:t>
      </w:r>
      <w:r>
        <w:rPr>
          <w:rFonts w:hint="eastAsia" w:ascii="宋体" w:hAnsi="宋体" w:eastAsia="宋体" w:cs="宋体"/>
          <w:color w:val="auto"/>
          <w:highlight w:val="none"/>
          <w:lang w:val="en-US" w:eastAsia="zh-CN"/>
        </w:rPr>
        <w:t>中小</w:t>
      </w:r>
      <w:r>
        <w:rPr>
          <w:rFonts w:hint="eastAsia" w:ascii="宋体" w:hAnsi="宋体" w:eastAsia="宋体" w:cs="宋体"/>
          <w:color w:val="auto"/>
          <w:highlight w:val="none"/>
        </w:rPr>
        <w:t>企业声明函》。</w:t>
      </w:r>
    </w:p>
    <w:p w14:paraId="4D9161B3">
      <w:pPr>
        <w:spacing w:line="5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（3）企业标准请参照《关于印发中小企业划型标准规定的通知》（工信部联企业</w:t>
      </w:r>
      <w:r>
        <w:rPr>
          <w:rFonts w:hint="eastAsia" w:ascii="宋体" w:hAnsi="宋体" w:eastAsia="宋体" w:cs="宋体"/>
          <w:color w:val="auto"/>
          <w:highlight w:val="none"/>
          <w:lang w:eastAsia="zh-CN"/>
        </w:rPr>
        <w:t>〔2011〕300号</w:t>
      </w:r>
      <w:r>
        <w:rPr>
          <w:rFonts w:hint="eastAsia" w:ascii="宋体" w:hAnsi="宋体" w:eastAsia="宋体" w:cs="宋体"/>
          <w:color w:val="auto"/>
          <w:highlight w:val="none"/>
        </w:rPr>
        <w:t>）文件规定自行填写。</w:t>
      </w:r>
    </w:p>
    <w:p w14:paraId="4FC375E1">
      <w:pPr>
        <w:spacing w:line="5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残疾人福利单位价格扣除</w:t>
      </w:r>
    </w:p>
    <w:p w14:paraId="59C1A4EE">
      <w:pPr>
        <w:spacing w:line="540" w:lineRule="exact"/>
        <w:ind w:firstLine="420" w:firstLineChars="200"/>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（1）本项目对残疾人福利性单位视同小型、微型企业</w:t>
      </w:r>
      <w:r>
        <w:rPr>
          <w:rFonts w:hint="eastAsia" w:ascii="宋体" w:hAnsi="宋体" w:eastAsia="宋体" w:cs="宋体"/>
          <w:color w:val="auto"/>
          <w:highlight w:val="none"/>
          <w:lang w:eastAsia="zh-CN"/>
        </w:rPr>
        <w:t>。</w:t>
      </w:r>
    </w:p>
    <w:p w14:paraId="15B5B9BD">
      <w:pPr>
        <w:spacing w:line="5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（2）残疾人福利单位需按照采购文件的要求提供《残疾人福利性单位声明函》。</w:t>
      </w:r>
    </w:p>
    <w:p w14:paraId="7869203A">
      <w:pPr>
        <w:spacing w:line="5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（3）残疾人福利单位标准请参照《关于促进残疾人就业政府采购政策的通知》（财库〔2017〕141号）。</w:t>
      </w:r>
    </w:p>
    <w:p w14:paraId="38DE5442">
      <w:pPr>
        <w:spacing w:line="5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监狱和戒毒企业价格扣除</w:t>
      </w:r>
    </w:p>
    <w:p w14:paraId="7C2C650F">
      <w:pPr>
        <w:spacing w:line="540" w:lineRule="exact"/>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rPr>
        <w:t>（1）本项目对监狱和戒毒企业（简称监狱企业）视同小型、微型企业</w:t>
      </w:r>
      <w:r>
        <w:rPr>
          <w:rFonts w:hint="eastAsia" w:ascii="宋体" w:hAnsi="宋体" w:eastAsia="宋体" w:cs="宋体"/>
          <w:color w:val="auto"/>
          <w:highlight w:val="none"/>
          <w:lang w:eastAsia="zh-CN"/>
        </w:rPr>
        <w:t>。</w:t>
      </w:r>
    </w:p>
    <w:p w14:paraId="548D6D48">
      <w:pPr>
        <w:spacing w:line="5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（2）监狱企业参加政府采购活动时，需提供由省级以上监狱管理局、戒毒管理局(含新疆生产建设兵团)出具的属于监狱企业的证明文件。供应商如不提供上述证明文件，价格将不做相应扣除。</w:t>
      </w:r>
    </w:p>
    <w:p w14:paraId="34949598">
      <w:pPr>
        <w:spacing w:line="5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（3）监狱企业标准请参照《关于政府采购支持监狱企业发展有关问题的通知》（财库</w:t>
      </w:r>
      <w:r>
        <w:rPr>
          <w:rFonts w:hint="eastAsia" w:ascii="宋体" w:hAnsi="宋体" w:eastAsia="宋体" w:cs="宋体"/>
          <w:color w:val="auto"/>
          <w:highlight w:val="none"/>
          <w:lang w:eastAsia="zh-CN"/>
        </w:rPr>
        <w:t>〔2014〕68号</w:t>
      </w:r>
      <w:r>
        <w:rPr>
          <w:rFonts w:hint="eastAsia" w:ascii="宋体" w:hAnsi="宋体" w:eastAsia="宋体" w:cs="宋体"/>
          <w:color w:val="auto"/>
          <w:highlight w:val="none"/>
        </w:rPr>
        <w:t>）。</w:t>
      </w:r>
    </w:p>
    <w:p w14:paraId="7C84F2EA">
      <w:pPr>
        <w:spacing w:line="5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残疾人福利单位、监狱企业属于小型、微型企业的，不重复享受政策。</w:t>
      </w:r>
    </w:p>
    <w:p w14:paraId="0FB2A438">
      <w:pPr>
        <w:spacing w:line="5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6%</w:t>
      </w:r>
      <w:r>
        <w:rPr>
          <w:rFonts w:hint="eastAsia" w:ascii="宋体" w:hAnsi="宋体" w:eastAsia="宋体" w:cs="宋体"/>
          <w:color w:val="auto"/>
          <w:highlight w:val="none"/>
        </w:rPr>
        <w:t>的价格扣除，用扣除后的价格参与评审。</w:t>
      </w:r>
    </w:p>
    <w:p w14:paraId="09753616">
      <w:pPr>
        <w:spacing w:line="540" w:lineRule="exact"/>
        <w:ind w:firstLine="420" w:firstLineChars="200"/>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6</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联合体各方均为小型、微型企业（残疾人福利单位、监狱企业）的，联合体享受</w:t>
      </w:r>
      <w:r>
        <w:rPr>
          <w:rFonts w:hint="eastAsia" w:ascii="宋体" w:hAnsi="宋体" w:eastAsia="宋体" w:cs="宋体"/>
          <w:color w:val="auto"/>
          <w:highlight w:val="none"/>
          <w:u w:val="single"/>
        </w:rPr>
        <w:t>20%</w:t>
      </w:r>
      <w:r>
        <w:rPr>
          <w:rFonts w:hint="eastAsia" w:ascii="宋体" w:hAnsi="宋体" w:eastAsia="宋体" w:cs="宋体"/>
          <w:color w:val="auto"/>
          <w:highlight w:val="none"/>
          <w:u w:val="single"/>
          <w:lang w:eastAsia="zh-CN"/>
        </w:rPr>
        <w:t>的价格扣除。</w:t>
      </w:r>
    </w:p>
    <w:p w14:paraId="1D5BD42D">
      <w:pPr>
        <w:adjustRightInd w:val="0"/>
        <w:spacing w:line="400" w:lineRule="exact"/>
        <w:ind w:firstLine="422" w:firstLineChars="200"/>
        <w:jc w:val="left"/>
        <w:textAlignment w:val="baseline"/>
        <w:rPr>
          <w:rFonts w:hint="eastAsia" w:ascii="宋体" w:hAnsi="宋体" w:eastAsia="宋体" w:cs="宋体"/>
          <w:b/>
          <w:bCs/>
          <w:color w:val="auto"/>
          <w:sz w:val="21"/>
          <w:szCs w:val="21"/>
        </w:rPr>
      </w:pPr>
      <w:r>
        <w:rPr>
          <w:rFonts w:hint="eastAsia" w:ascii="宋体" w:hAnsi="宋体" w:eastAsia="宋体" w:cs="宋体"/>
          <w:b/>
          <w:bCs/>
          <w:color w:val="auto"/>
          <w:sz w:val="21"/>
          <w:szCs w:val="21"/>
        </w:rPr>
        <w:t>7、采购本国产品的支持政策</w:t>
      </w:r>
    </w:p>
    <w:p w14:paraId="02CC0114">
      <w:pPr>
        <w:adjustRightInd w:val="0"/>
        <w:spacing w:line="400" w:lineRule="exact"/>
        <w:ind w:firstLine="422" w:firstLineChars="200"/>
        <w:jc w:val="left"/>
        <w:textAlignment w:val="baseline"/>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1"/>
          <w:szCs w:val="21"/>
          <w:u w:val="single"/>
        </w:rPr>
        <w:t>20%</w:t>
      </w:r>
      <w:r>
        <w:rPr>
          <w:rFonts w:hint="eastAsia" w:ascii="宋体" w:hAnsi="宋体" w:eastAsia="宋体" w:cs="宋体"/>
          <w:b/>
          <w:bCs/>
          <w:color w:val="auto"/>
          <w:sz w:val="21"/>
          <w:szCs w:val="21"/>
        </w:rPr>
        <w:t>的价格扣除，用扣除后的价格参与评审。</w:t>
      </w:r>
    </w:p>
    <w:p w14:paraId="18EBC216">
      <w:pPr>
        <w:adjustRightInd w:val="0"/>
        <w:spacing w:line="400" w:lineRule="exact"/>
        <w:ind w:firstLine="422" w:firstLineChars="200"/>
        <w:jc w:val="left"/>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rPr>
        <w:t>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1"/>
          <w:szCs w:val="21"/>
          <w:u w:val="single"/>
        </w:rPr>
        <w:t>80%</w:t>
      </w:r>
      <w:r>
        <w:rPr>
          <w:rFonts w:hint="eastAsia" w:ascii="宋体" w:hAnsi="宋体" w:eastAsia="宋体" w:cs="宋体"/>
          <w:b/>
          <w:bCs/>
          <w:color w:val="auto"/>
          <w:sz w:val="21"/>
          <w:szCs w:val="21"/>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1"/>
          <w:szCs w:val="21"/>
          <w:u w:val="single"/>
        </w:rPr>
        <w:t>20%</w:t>
      </w:r>
      <w:r>
        <w:rPr>
          <w:rFonts w:hint="eastAsia" w:ascii="宋体" w:hAnsi="宋体" w:eastAsia="宋体" w:cs="宋体"/>
          <w:b/>
          <w:bCs/>
          <w:color w:val="auto"/>
          <w:sz w:val="21"/>
          <w:szCs w:val="21"/>
        </w:rPr>
        <w:t>的价格扣除，用扣除后的价格参与评审。供应商未填写比例数值，或比例数值</w:t>
      </w:r>
      <w:r>
        <w:rPr>
          <w:rFonts w:hint="eastAsia" w:ascii="宋体" w:hAnsi="宋体" w:eastAsia="宋体" w:cs="宋体"/>
          <w:b/>
          <w:bCs/>
          <w:color w:val="auto"/>
          <w:sz w:val="21"/>
          <w:szCs w:val="21"/>
          <w:highlight w:val="none"/>
        </w:rPr>
        <w:t>未达到80%的，将不享受本国产品价格评审优惠。</w:t>
      </w:r>
    </w:p>
    <w:p w14:paraId="78A3251A">
      <w:pPr>
        <w:adjustRightInd w:val="0"/>
        <w:spacing w:line="400" w:lineRule="exact"/>
        <w:ind w:firstLine="422" w:firstLineChars="200"/>
        <w:jc w:val="left"/>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7.3 供应商需按照招标文件的要求提供《关于符合本国产品标准的声明函》（以下简称《声明函》），如不提供将不享受本国产品价格评审优惠。</w:t>
      </w:r>
    </w:p>
    <w:p w14:paraId="420EF524">
      <w:pPr>
        <w:adjustRightInd w:val="0"/>
        <w:spacing w:line="400" w:lineRule="exact"/>
        <w:ind w:firstLine="422" w:firstLineChars="200"/>
        <w:jc w:val="left"/>
        <w:textAlignment w:val="baseline"/>
        <w:rPr>
          <w:rFonts w:hint="eastAsia" w:ascii="宋体" w:hAnsi="宋体" w:eastAsia="宋体" w:cs="宋体"/>
          <w:b/>
          <w:bCs/>
          <w:color w:val="auto"/>
          <w:sz w:val="21"/>
          <w:szCs w:val="21"/>
        </w:rPr>
      </w:pPr>
      <w:r>
        <w:rPr>
          <w:rFonts w:hint="eastAsia" w:ascii="宋体" w:hAnsi="宋体" w:eastAsia="宋体" w:cs="宋体"/>
          <w:b/>
          <w:bCs/>
          <w:color w:val="auto"/>
          <w:sz w:val="21"/>
          <w:szCs w:val="21"/>
          <w:highlight w:val="none"/>
        </w:rPr>
        <w:t>7.4 供应商需在《声明函》中逐一、准确填写产品名称、厂名、生产厂址三项信息（《声明函》中用</w:t>
      </w:r>
      <w:r>
        <w:rPr>
          <w:rFonts w:hint="eastAsia" w:ascii="宋体" w:hAnsi="宋体" w:eastAsia="宋体" w:cs="宋体"/>
          <w:b/>
          <w:bCs/>
          <w:color w:val="auto"/>
          <w:sz w:val="21"/>
          <w:szCs w:val="21"/>
          <w:highlight w:val="none"/>
          <w:lang w:val="en-US" w:eastAsia="zh-CN"/>
        </w:rPr>
        <w:t>横</w:t>
      </w:r>
      <w:r>
        <w:rPr>
          <w:rFonts w:hint="eastAsia" w:ascii="宋体" w:hAnsi="宋体" w:eastAsia="宋体" w:cs="宋体"/>
          <w:b/>
          <w:bCs/>
          <w:color w:val="auto"/>
          <w:sz w:val="21"/>
          <w:szCs w:val="21"/>
          <w:highlight w:val="none"/>
        </w:rPr>
        <w:t>线划除的地方无需填写），三项信息中任意一项未填写的视为该项产品不符</w:t>
      </w:r>
      <w:r>
        <w:rPr>
          <w:rFonts w:hint="eastAsia" w:ascii="宋体" w:hAnsi="宋体" w:eastAsia="宋体" w:cs="宋体"/>
          <w:b/>
          <w:bCs/>
          <w:color w:val="auto"/>
          <w:sz w:val="21"/>
          <w:szCs w:val="21"/>
        </w:rPr>
        <w:t>合本国产品标准，不享受本国产品价格评审优惠。</w:t>
      </w:r>
    </w:p>
    <w:p w14:paraId="48DBC047">
      <w:pPr>
        <w:spacing w:line="540" w:lineRule="exact"/>
        <w:ind w:firstLine="422" w:firstLineChars="200"/>
        <w:rPr>
          <w:rFonts w:hint="eastAsia" w:ascii="宋体" w:hAnsi="宋体" w:eastAsia="宋体" w:cs="宋体"/>
          <w:color w:val="auto"/>
          <w:highlight w:val="none"/>
          <w:lang w:val="en-US" w:eastAsia="zh-CN"/>
        </w:rPr>
      </w:pPr>
      <w:r>
        <w:rPr>
          <w:rFonts w:hint="eastAsia" w:ascii="宋体" w:hAnsi="宋体" w:eastAsia="宋体" w:cs="宋体"/>
          <w:b/>
          <w:bCs/>
          <w:color w:val="auto"/>
          <w:sz w:val="21"/>
          <w:szCs w:val="21"/>
        </w:rPr>
        <w:t>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1"/>
          <w:szCs w:val="21"/>
          <w:lang w:val="en-US" w:eastAsia="zh-CN"/>
        </w:rPr>
        <w:t>在苏采云系统</w:t>
      </w:r>
      <w:r>
        <w:rPr>
          <w:rFonts w:hint="eastAsia" w:ascii="宋体" w:hAnsi="宋体" w:eastAsia="宋体" w:cs="宋体"/>
          <w:b/>
          <w:bCs/>
          <w:color w:val="auto"/>
          <w:sz w:val="21"/>
          <w:szCs w:val="21"/>
        </w:rPr>
        <w:t>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auto"/>
          <w:sz w:val="21"/>
          <w:szCs w:val="21"/>
        </w:rPr>
        <w:t>和招标文件规定的，供应商提供的相关产品视为不符合本国产品标准。</w:t>
      </w:r>
    </w:p>
    <w:p w14:paraId="2EF9789F">
      <w:pPr>
        <w:spacing w:line="5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1"/>
          <w:szCs w:val="21"/>
          <w:highlight w:val="none"/>
        </w:rPr>
        <w:t>如属政府强制采购产品未提供认证证书的或认证证书提供不全的将视为未实质性响应采购要求</w:t>
      </w:r>
      <w:r>
        <w:rPr>
          <w:rFonts w:hint="eastAsia" w:ascii="宋体" w:hAnsi="宋体" w:eastAsia="宋体" w:cs="宋体"/>
          <w:i/>
          <w:color w:val="auto"/>
          <w:kern w:val="0"/>
          <w:sz w:val="21"/>
          <w:szCs w:val="21"/>
          <w:highlight w:val="none"/>
        </w:rPr>
        <w:t>。</w:t>
      </w:r>
      <w:r>
        <w:rPr>
          <w:rFonts w:hint="eastAsia" w:ascii="宋体" w:hAnsi="宋体" w:eastAsia="宋体" w:cs="宋体"/>
          <w:color w:val="auto"/>
          <w:highlight w:val="none"/>
        </w:rPr>
        <w:t>其他条件相同情况下，应当优先采购节能产品、环境标志产品。</w:t>
      </w:r>
    </w:p>
    <w:p w14:paraId="1F3445E5">
      <w:pPr>
        <w:pStyle w:val="7"/>
        <w:spacing w:before="120" w:beforeAutospacing="0" w:after="120" w:afterAutospacing="0" w:line="0" w:lineRule="atLeast"/>
        <w:ind w:firstLine="48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二、</w:t>
      </w:r>
      <w:r>
        <w:rPr>
          <w:rFonts w:hint="eastAsia" w:ascii="宋体" w:hAnsi="宋体" w:eastAsia="宋体" w:cs="宋体"/>
          <w:b/>
          <w:color w:val="auto"/>
          <w:sz w:val="21"/>
          <w:szCs w:val="21"/>
          <w:highlight w:val="none"/>
        </w:rPr>
        <w:t>评标方法与评标标准</w:t>
      </w:r>
    </w:p>
    <w:tbl>
      <w:tblPr>
        <w:tblStyle w:val="9"/>
        <w:tblpPr w:leftFromText="180" w:rightFromText="180" w:vertAnchor="text" w:horzAnchor="page" w:tblpX="1694" w:tblpY="416"/>
        <w:tblOverlap w:val="never"/>
        <w:tblW w:w="8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1"/>
        <w:gridCol w:w="1312"/>
        <w:gridCol w:w="6313"/>
      </w:tblGrid>
      <w:tr w14:paraId="7858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1231" w:type="dxa"/>
            <w:noWrap w:val="0"/>
            <w:vAlign w:val="center"/>
          </w:tcPr>
          <w:p w14:paraId="70CB899D">
            <w:pPr>
              <w:pStyle w:val="16"/>
              <w:spacing w:before="0" w:line="240" w:lineRule="exact"/>
              <w:ind w:firstLine="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评分项</w:t>
            </w:r>
          </w:p>
        </w:tc>
        <w:tc>
          <w:tcPr>
            <w:tcW w:w="1312" w:type="dxa"/>
            <w:noWrap w:val="0"/>
            <w:vAlign w:val="center"/>
          </w:tcPr>
          <w:p w14:paraId="4A5FB1CC">
            <w:pPr>
              <w:pStyle w:val="16"/>
              <w:spacing w:before="0" w:line="240" w:lineRule="exact"/>
              <w:ind w:firstLine="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岗位、分值</w:t>
            </w:r>
          </w:p>
        </w:tc>
        <w:tc>
          <w:tcPr>
            <w:tcW w:w="6313" w:type="dxa"/>
            <w:noWrap w:val="0"/>
            <w:vAlign w:val="center"/>
          </w:tcPr>
          <w:p w14:paraId="009AE400">
            <w:pPr>
              <w:pStyle w:val="16"/>
              <w:spacing w:before="0" w:line="240" w:lineRule="exact"/>
              <w:ind w:firstLine="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评分标准</w:t>
            </w:r>
          </w:p>
        </w:tc>
      </w:tr>
      <w:tr w14:paraId="3F01C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31" w:type="dxa"/>
            <w:noWrap w:val="0"/>
            <w:vAlign w:val="center"/>
          </w:tcPr>
          <w:p w14:paraId="041D8C64">
            <w:pPr>
              <w:pStyle w:val="16"/>
              <w:spacing w:before="0" w:line="240" w:lineRule="exact"/>
              <w:ind w:firstLine="0"/>
              <w:jc w:val="center"/>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价格分</w:t>
            </w:r>
          </w:p>
          <w:p w14:paraId="4F1DAD76">
            <w:pPr>
              <w:pStyle w:val="16"/>
              <w:spacing w:before="0" w:line="240" w:lineRule="exact"/>
              <w:ind w:firstLine="0"/>
              <w:jc w:val="center"/>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30分</w:t>
            </w:r>
            <w:r>
              <w:rPr>
                <w:rFonts w:hint="eastAsia" w:ascii="宋体" w:hAnsi="宋体" w:eastAsia="宋体" w:cs="宋体"/>
                <w:b/>
                <w:bCs/>
                <w:color w:val="auto"/>
                <w:sz w:val="21"/>
                <w:szCs w:val="21"/>
                <w:lang w:eastAsia="zh-CN"/>
              </w:rPr>
              <w:t>）</w:t>
            </w:r>
          </w:p>
        </w:tc>
        <w:tc>
          <w:tcPr>
            <w:tcW w:w="1312" w:type="dxa"/>
            <w:noWrap w:val="0"/>
            <w:vAlign w:val="center"/>
          </w:tcPr>
          <w:p w14:paraId="5B79F6A9">
            <w:pPr>
              <w:pStyle w:val="16"/>
              <w:spacing w:before="0" w:line="240" w:lineRule="exact"/>
              <w:ind w:firstLine="0"/>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30分</w:t>
            </w:r>
          </w:p>
        </w:tc>
        <w:tc>
          <w:tcPr>
            <w:tcW w:w="6313" w:type="dxa"/>
            <w:noWrap w:val="0"/>
            <w:vAlign w:val="center"/>
          </w:tcPr>
          <w:p w14:paraId="159867B2">
            <w:pPr>
              <w:ind w:firstLine="420" w:firstLineChars="0"/>
              <w:rPr>
                <w:rFonts w:hint="eastAsia" w:ascii="宋体" w:hAnsi="宋体" w:eastAsia="宋体" w:cs="宋体"/>
                <w:b/>
                <w:bCs/>
                <w:color w:val="auto"/>
                <w:sz w:val="21"/>
                <w:szCs w:val="21"/>
              </w:rPr>
            </w:pPr>
            <w:r>
              <w:rPr>
                <w:rFonts w:hint="eastAsia" w:ascii="宋体" w:hAnsi="宋体" w:eastAsia="宋体" w:cs="宋体"/>
                <w:color w:val="auto"/>
                <w:sz w:val="21"/>
                <w:szCs w:val="21"/>
              </w:rPr>
              <w:t>根据各投标</w:t>
            </w:r>
            <w:r>
              <w:rPr>
                <w:rFonts w:hint="eastAsia" w:ascii="宋体" w:hAnsi="宋体" w:eastAsia="宋体" w:cs="宋体"/>
                <w:color w:val="auto"/>
                <w:sz w:val="21"/>
                <w:szCs w:val="21"/>
                <w:lang w:eastAsia="zh-CN"/>
              </w:rPr>
              <w:t>人</w:t>
            </w:r>
            <w:r>
              <w:rPr>
                <w:rFonts w:hint="eastAsia" w:ascii="宋体" w:hAnsi="宋体" w:eastAsia="宋体" w:cs="宋体"/>
                <w:color w:val="auto"/>
                <w:sz w:val="21"/>
                <w:szCs w:val="21"/>
              </w:rPr>
              <w:t>通过符合性审查的有效投标报价的最低价作为评标基准价，其价格分为满分，其他投标</w:t>
            </w:r>
            <w:r>
              <w:rPr>
                <w:rFonts w:hint="eastAsia" w:ascii="宋体" w:hAnsi="宋体" w:eastAsia="宋体" w:cs="宋体"/>
                <w:color w:val="auto"/>
                <w:sz w:val="21"/>
                <w:szCs w:val="21"/>
                <w:lang w:eastAsia="zh-CN"/>
              </w:rPr>
              <w:t>人</w:t>
            </w:r>
            <w:r>
              <w:rPr>
                <w:rFonts w:hint="eastAsia" w:ascii="宋体" w:hAnsi="宋体" w:eastAsia="宋体" w:cs="宋体"/>
                <w:color w:val="auto"/>
                <w:sz w:val="21"/>
                <w:szCs w:val="21"/>
              </w:rPr>
              <w:t>价格分按以下公式计算：价格得分=（评标基准价/投标报价）*</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0分。</w:t>
            </w:r>
          </w:p>
        </w:tc>
      </w:tr>
      <w:tr w14:paraId="5F408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Merge w:val="restart"/>
            <w:noWrap w:val="0"/>
            <w:vAlign w:val="center"/>
          </w:tcPr>
          <w:p w14:paraId="79B96958">
            <w:pPr>
              <w:pStyle w:val="16"/>
              <w:spacing w:before="0" w:line="240" w:lineRule="exact"/>
              <w:ind w:firstLine="0"/>
              <w:jc w:val="center"/>
              <w:rPr>
                <w:rFonts w:hint="eastAsia" w:ascii="宋体" w:hAnsi="宋体" w:eastAsia="宋体" w:cs="宋体"/>
                <w:color w:val="auto"/>
                <w:sz w:val="21"/>
                <w:szCs w:val="21"/>
                <w:lang w:eastAsia="zh-CN"/>
              </w:rPr>
            </w:pPr>
            <w:r>
              <w:rPr>
                <w:rFonts w:hint="eastAsia" w:ascii="宋体" w:hAnsi="宋体" w:eastAsia="宋体" w:cs="宋体"/>
                <w:b/>
                <w:bCs/>
                <w:color w:val="auto"/>
                <w:sz w:val="21"/>
                <w:szCs w:val="21"/>
                <w:lang w:eastAsia="zh-CN"/>
              </w:rPr>
              <w:t>人员（</w:t>
            </w:r>
            <w:r>
              <w:rPr>
                <w:rFonts w:hint="eastAsia" w:ascii="宋体" w:hAnsi="宋体" w:eastAsia="宋体" w:cs="宋体"/>
                <w:b/>
                <w:bCs/>
                <w:color w:val="auto"/>
                <w:sz w:val="21"/>
                <w:szCs w:val="21"/>
                <w:lang w:val="en-US" w:eastAsia="zh-CN"/>
              </w:rPr>
              <w:t>4分</w:t>
            </w:r>
            <w:r>
              <w:rPr>
                <w:rFonts w:hint="eastAsia" w:ascii="宋体" w:hAnsi="宋体" w:eastAsia="宋体" w:cs="宋体"/>
                <w:b/>
                <w:bCs/>
                <w:color w:val="auto"/>
                <w:sz w:val="21"/>
                <w:szCs w:val="21"/>
                <w:lang w:eastAsia="zh-CN"/>
              </w:rPr>
              <w:t>）</w:t>
            </w:r>
          </w:p>
        </w:tc>
        <w:tc>
          <w:tcPr>
            <w:tcW w:w="1312" w:type="dxa"/>
            <w:noWrap w:val="0"/>
            <w:vAlign w:val="center"/>
          </w:tcPr>
          <w:p w14:paraId="2417B7E2">
            <w:pPr>
              <w:pStyle w:val="16"/>
              <w:spacing w:before="0" w:line="240" w:lineRule="exact"/>
              <w:ind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厨师长</w:t>
            </w:r>
          </w:p>
          <w:p w14:paraId="76883B18">
            <w:pPr>
              <w:pStyle w:val="16"/>
              <w:spacing w:before="0" w:line="240" w:lineRule="exact"/>
              <w:ind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2分</w:t>
            </w:r>
            <w:r>
              <w:rPr>
                <w:rFonts w:hint="eastAsia" w:ascii="宋体" w:hAnsi="宋体" w:eastAsia="宋体" w:cs="宋体"/>
                <w:color w:val="auto"/>
                <w:sz w:val="21"/>
                <w:szCs w:val="21"/>
                <w:lang w:eastAsia="zh-CN"/>
              </w:rPr>
              <w:t>）</w:t>
            </w:r>
          </w:p>
        </w:tc>
        <w:tc>
          <w:tcPr>
            <w:tcW w:w="6313" w:type="dxa"/>
            <w:noWrap w:val="0"/>
            <w:vAlign w:val="top"/>
          </w:tcPr>
          <w:p w14:paraId="7EE58812">
            <w:pPr>
              <w:ind w:firstLine="420" w:firstLine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rPr>
              <w:t>本岗位人员具有国家职业资格三级（中式烹调师）及以上技师证书</w:t>
            </w:r>
            <w:r>
              <w:rPr>
                <w:rFonts w:hint="eastAsia" w:ascii="宋体" w:hAnsi="宋体" w:eastAsia="宋体" w:cs="宋体"/>
                <w:color w:val="auto"/>
                <w:sz w:val="21"/>
                <w:szCs w:val="21"/>
                <w:highlight w:val="none"/>
                <w:lang w:eastAsia="zh-CN"/>
              </w:rPr>
              <w:t>的得</w:t>
            </w:r>
            <w:r>
              <w:rPr>
                <w:rFonts w:hint="eastAsia" w:ascii="宋体" w:hAnsi="宋体" w:eastAsia="宋体" w:cs="宋体"/>
                <w:color w:val="auto"/>
                <w:sz w:val="21"/>
                <w:szCs w:val="21"/>
                <w:highlight w:val="none"/>
                <w:lang w:val="en-US" w:eastAsia="zh-CN"/>
              </w:rPr>
              <w:t>2分。</w:t>
            </w:r>
          </w:p>
          <w:p w14:paraId="5DE37833">
            <w:pPr>
              <w:ind w:firstLine="420" w:firstLineChars="0"/>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highlight w:val="none"/>
                <w:lang w:val="en-US" w:eastAsia="zh-CN"/>
              </w:rPr>
              <w:t>注：需</w:t>
            </w:r>
            <w:r>
              <w:rPr>
                <w:rFonts w:hint="eastAsia" w:ascii="宋体" w:hAnsi="宋体" w:eastAsia="宋体" w:cs="宋体"/>
                <w:b/>
                <w:bCs/>
                <w:color w:val="auto"/>
                <w:sz w:val="21"/>
                <w:szCs w:val="21"/>
                <w:highlight w:val="none"/>
              </w:rPr>
              <w:t>提供证书</w:t>
            </w:r>
            <w:r>
              <w:rPr>
                <w:rFonts w:hint="eastAsia" w:ascii="宋体" w:hAnsi="宋体" w:eastAsia="宋体" w:cs="宋体"/>
                <w:b/>
                <w:bCs/>
                <w:color w:val="auto"/>
                <w:sz w:val="21"/>
                <w:szCs w:val="21"/>
                <w:highlight w:val="none"/>
                <w:lang w:eastAsia="zh-CN"/>
              </w:rPr>
              <w:t>原件扫描件、OSTA技能人才评价证书全国联网查询截图及投标人为其缴纳的近三个月以来任意一个月的社保证明材料并加盖投标人公章</w:t>
            </w:r>
            <w:r>
              <w:rPr>
                <w:rFonts w:hint="eastAsia" w:ascii="宋体" w:hAnsi="宋体" w:eastAsia="宋体" w:cs="宋体"/>
                <w:b/>
                <w:bCs/>
                <w:color w:val="auto"/>
                <w:sz w:val="21"/>
                <w:szCs w:val="21"/>
                <w:highlight w:val="none"/>
              </w:rPr>
              <w:t>。不提供者</w:t>
            </w:r>
            <w:r>
              <w:rPr>
                <w:rFonts w:hint="eastAsia" w:ascii="宋体" w:hAnsi="宋体" w:eastAsia="宋体" w:cs="宋体"/>
                <w:b/>
                <w:bCs/>
                <w:color w:val="auto"/>
                <w:sz w:val="21"/>
                <w:szCs w:val="21"/>
                <w:highlight w:val="none"/>
                <w:lang w:val="en-US" w:eastAsia="zh-CN"/>
              </w:rPr>
              <w:t>的</w:t>
            </w:r>
            <w:r>
              <w:rPr>
                <w:rFonts w:hint="eastAsia" w:ascii="宋体" w:hAnsi="宋体" w:eastAsia="宋体" w:cs="宋体"/>
                <w:b/>
                <w:bCs/>
                <w:color w:val="auto"/>
                <w:sz w:val="21"/>
                <w:szCs w:val="21"/>
                <w:highlight w:val="none"/>
              </w:rPr>
              <w:t>不得分。</w:t>
            </w:r>
          </w:p>
        </w:tc>
      </w:tr>
      <w:tr w14:paraId="5575B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Merge w:val="continue"/>
            <w:noWrap w:val="0"/>
            <w:vAlign w:val="center"/>
          </w:tcPr>
          <w:p w14:paraId="72330170">
            <w:pPr>
              <w:pStyle w:val="16"/>
              <w:spacing w:before="0" w:line="240" w:lineRule="exact"/>
              <w:ind w:firstLine="0"/>
              <w:jc w:val="center"/>
              <w:rPr>
                <w:rFonts w:hint="eastAsia" w:ascii="宋体" w:hAnsi="宋体" w:eastAsia="宋体" w:cs="宋体"/>
                <w:b/>
                <w:bCs/>
                <w:color w:val="auto"/>
                <w:sz w:val="21"/>
                <w:szCs w:val="21"/>
                <w:lang w:eastAsia="zh-CN"/>
              </w:rPr>
            </w:pPr>
          </w:p>
        </w:tc>
        <w:tc>
          <w:tcPr>
            <w:tcW w:w="1312" w:type="dxa"/>
            <w:noWrap w:val="0"/>
            <w:vAlign w:val="center"/>
          </w:tcPr>
          <w:p w14:paraId="67105C93">
            <w:pPr>
              <w:pStyle w:val="16"/>
              <w:spacing w:before="0" w:line="240" w:lineRule="exact"/>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厨师</w:t>
            </w:r>
          </w:p>
          <w:p w14:paraId="43014FFA">
            <w:pPr>
              <w:pStyle w:val="16"/>
              <w:spacing w:before="0" w:line="240" w:lineRule="exact"/>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tc>
        <w:tc>
          <w:tcPr>
            <w:tcW w:w="6313" w:type="dxa"/>
            <w:noWrap w:val="0"/>
            <w:vAlign w:val="top"/>
          </w:tcPr>
          <w:p w14:paraId="5160BD38">
            <w:pPr>
              <w:ind w:firstLine="42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本岗位人员具有国家职业资格三级（中式烹调师）及以上技师证书</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p w14:paraId="756592BC">
            <w:pPr>
              <w:ind w:firstLine="420" w:firstLineChars="0"/>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本岗位人员具有国家职业资格四级（中式烹调师）证书</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p w14:paraId="6917856A">
            <w:pPr>
              <w:ind w:firstLine="420" w:firstLineChars="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w:t>
            </w:r>
            <w:r>
              <w:rPr>
                <w:rFonts w:hint="eastAsia" w:ascii="宋体" w:hAnsi="宋体" w:eastAsia="宋体" w:cs="宋体"/>
                <w:b/>
                <w:bCs/>
                <w:color w:val="auto"/>
                <w:sz w:val="21"/>
                <w:szCs w:val="21"/>
                <w:highlight w:val="none"/>
              </w:rPr>
              <w:t>不重复计</w:t>
            </w:r>
            <w:r>
              <w:rPr>
                <w:rFonts w:hint="eastAsia" w:ascii="宋体" w:hAnsi="宋体" w:eastAsia="宋体" w:cs="宋体"/>
                <w:b/>
                <w:bCs/>
                <w:color w:val="auto"/>
                <w:sz w:val="21"/>
                <w:szCs w:val="21"/>
                <w:highlight w:val="none"/>
                <w:lang w:eastAsia="zh-CN"/>
              </w:rPr>
              <w:t>分，本项最高得</w:t>
            </w:r>
            <w:r>
              <w:rPr>
                <w:rFonts w:hint="eastAsia" w:ascii="宋体" w:hAnsi="宋体" w:eastAsia="宋体" w:cs="宋体"/>
                <w:b/>
                <w:bCs/>
                <w:color w:val="auto"/>
                <w:sz w:val="21"/>
                <w:szCs w:val="21"/>
                <w:highlight w:val="none"/>
                <w:lang w:val="en-US" w:eastAsia="zh-CN"/>
              </w:rPr>
              <w:t>2分。需</w:t>
            </w:r>
            <w:r>
              <w:rPr>
                <w:rFonts w:hint="eastAsia" w:ascii="宋体" w:hAnsi="宋体" w:eastAsia="宋体" w:cs="宋体"/>
                <w:b/>
                <w:bCs/>
                <w:color w:val="auto"/>
                <w:sz w:val="21"/>
                <w:szCs w:val="21"/>
                <w:highlight w:val="none"/>
              </w:rPr>
              <w:t>提供证书</w:t>
            </w:r>
            <w:r>
              <w:rPr>
                <w:rFonts w:hint="eastAsia" w:ascii="宋体" w:hAnsi="宋体" w:eastAsia="宋体" w:cs="宋体"/>
                <w:b/>
                <w:bCs/>
                <w:color w:val="auto"/>
                <w:sz w:val="21"/>
                <w:szCs w:val="21"/>
                <w:highlight w:val="none"/>
                <w:lang w:eastAsia="zh-CN"/>
              </w:rPr>
              <w:t>原件扫描件、OSTA技能人才评价证书全国联网查询截图及投标人为其缴纳的近三个月以来任意一个月的社保证明材料并加盖投标人公章</w:t>
            </w:r>
            <w:r>
              <w:rPr>
                <w:rFonts w:hint="eastAsia" w:ascii="宋体" w:hAnsi="宋体" w:eastAsia="宋体" w:cs="宋体"/>
                <w:b/>
                <w:bCs/>
                <w:color w:val="auto"/>
                <w:sz w:val="21"/>
                <w:szCs w:val="21"/>
                <w:highlight w:val="none"/>
              </w:rPr>
              <w:t>。不提供者</w:t>
            </w:r>
            <w:r>
              <w:rPr>
                <w:rFonts w:hint="eastAsia" w:ascii="宋体" w:hAnsi="宋体" w:eastAsia="宋体" w:cs="宋体"/>
                <w:b/>
                <w:bCs/>
                <w:color w:val="auto"/>
                <w:sz w:val="21"/>
                <w:szCs w:val="21"/>
                <w:highlight w:val="none"/>
                <w:lang w:val="en-US" w:eastAsia="zh-CN"/>
              </w:rPr>
              <w:t>的</w:t>
            </w:r>
            <w:r>
              <w:rPr>
                <w:rFonts w:hint="eastAsia" w:ascii="宋体" w:hAnsi="宋体" w:eastAsia="宋体" w:cs="宋体"/>
                <w:b/>
                <w:bCs/>
                <w:color w:val="auto"/>
                <w:sz w:val="21"/>
                <w:szCs w:val="21"/>
                <w:highlight w:val="none"/>
              </w:rPr>
              <w:t>不得分。</w:t>
            </w:r>
          </w:p>
        </w:tc>
      </w:tr>
      <w:tr w14:paraId="12EC5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19" w:hRule="atLeast"/>
        </w:trPr>
        <w:tc>
          <w:tcPr>
            <w:tcW w:w="1231" w:type="dxa"/>
            <w:vMerge w:val="restart"/>
            <w:noWrap w:val="0"/>
            <w:vAlign w:val="center"/>
          </w:tcPr>
          <w:p w14:paraId="5E190E3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服务方案</w:t>
            </w:r>
          </w:p>
          <w:p w14:paraId="21117C9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w:t>
            </w:r>
            <w:r>
              <w:rPr>
                <w:rFonts w:hint="eastAsia" w:ascii="宋体" w:hAnsi="宋体" w:eastAsia="宋体" w:cs="宋体"/>
                <w:b/>
                <w:bCs/>
                <w:color w:val="auto"/>
                <w:sz w:val="21"/>
                <w:szCs w:val="21"/>
                <w:lang w:val="en-US" w:eastAsia="zh-CN"/>
              </w:rPr>
              <w:t>60</w:t>
            </w:r>
            <w:r>
              <w:rPr>
                <w:rFonts w:hint="eastAsia" w:ascii="宋体" w:hAnsi="宋体" w:eastAsia="宋体" w:cs="宋体"/>
                <w:b/>
                <w:bCs/>
                <w:color w:val="auto"/>
                <w:sz w:val="21"/>
                <w:szCs w:val="21"/>
              </w:rPr>
              <w:t>分）</w:t>
            </w:r>
          </w:p>
        </w:tc>
        <w:tc>
          <w:tcPr>
            <w:tcW w:w="1312" w:type="dxa"/>
            <w:noWrap w:val="0"/>
            <w:vAlign w:val="center"/>
          </w:tcPr>
          <w:p w14:paraId="5DCFC8A1">
            <w:pPr>
              <w:adjustRightInd w:val="0"/>
              <w:snapToGrid w:val="0"/>
              <w:spacing w:line="288"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餐饮管理组织实施方案</w:t>
            </w:r>
          </w:p>
          <w:p w14:paraId="2336765B">
            <w:pPr>
              <w:pStyle w:val="8"/>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cs="宋体"/>
                <w:color w:val="auto"/>
                <w:sz w:val="21"/>
                <w:szCs w:val="21"/>
                <w:lang w:val="en-US" w:eastAsia="zh-CN"/>
              </w:rPr>
              <w:t>10</w:t>
            </w:r>
            <w:r>
              <w:rPr>
                <w:rFonts w:hint="eastAsia" w:ascii="宋体" w:hAnsi="宋体" w:eastAsia="宋体" w:cs="宋体"/>
                <w:color w:val="auto"/>
                <w:sz w:val="21"/>
                <w:szCs w:val="21"/>
              </w:rPr>
              <w:t>分）</w:t>
            </w:r>
          </w:p>
        </w:tc>
        <w:tc>
          <w:tcPr>
            <w:tcW w:w="6313" w:type="dxa"/>
            <w:noWrap w:val="0"/>
            <w:vAlign w:val="center"/>
          </w:tcPr>
          <w:p w14:paraId="67843460">
            <w:pPr>
              <w:ind w:firstLine="420" w:firstLineChars="0"/>
              <w:rPr>
                <w:rFonts w:hint="eastAsia" w:ascii="宋体" w:hAnsi="宋体" w:eastAsia="宋体" w:cs="宋体"/>
                <w:color w:val="auto"/>
                <w:sz w:val="21"/>
                <w:szCs w:val="21"/>
              </w:rPr>
            </w:pPr>
            <w:r>
              <w:rPr>
                <w:rFonts w:hint="eastAsia" w:ascii="宋体" w:hAnsi="宋体" w:eastAsia="宋体" w:cs="宋体"/>
                <w:color w:val="auto"/>
                <w:sz w:val="21"/>
                <w:szCs w:val="21"/>
              </w:rPr>
              <w:t>投标人根据招标文件</w:t>
            </w:r>
            <w:r>
              <w:rPr>
                <w:rFonts w:hint="eastAsia" w:ascii="宋体" w:hAnsi="宋体" w:eastAsia="宋体" w:cs="宋体"/>
                <w:color w:val="auto"/>
                <w:sz w:val="21"/>
                <w:szCs w:val="21"/>
                <w:lang w:eastAsia="zh-CN"/>
              </w:rPr>
              <w:t>第四章采购需求中“</w:t>
            </w:r>
            <w:r>
              <w:rPr>
                <w:rFonts w:hint="eastAsia" w:ascii="宋体" w:hAnsi="宋体" w:eastAsia="宋体" w:cs="宋体"/>
                <w:color w:val="auto"/>
                <w:sz w:val="21"/>
                <w:szCs w:val="21"/>
              </w:rPr>
              <w:t>餐饮管理组织实施方案</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要求，制定本项目餐饮管理组织实施方案，方案</w:t>
            </w:r>
            <w:r>
              <w:rPr>
                <w:rFonts w:hint="eastAsia" w:ascii="宋体" w:hAnsi="宋体" w:eastAsia="宋体" w:cs="宋体"/>
                <w:color w:val="auto"/>
                <w:sz w:val="21"/>
                <w:szCs w:val="21"/>
                <w:lang w:eastAsia="zh-CN"/>
              </w:rPr>
              <w:t>至少包含</w:t>
            </w:r>
            <w:r>
              <w:rPr>
                <w:rFonts w:hint="eastAsia" w:ascii="宋体" w:hAnsi="宋体" w:eastAsia="宋体" w:cs="宋体"/>
                <w:color w:val="auto"/>
                <w:sz w:val="21"/>
                <w:szCs w:val="21"/>
              </w:rPr>
              <w:t>：1)人员配置；2)管理标准；3)培训方案等方面内容。</w:t>
            </w:r>
            <w:r>
              <w:rPr>
                <w:rFonts w:hint="eastAsia" w:ascii="宋体" w:hAnsi="宋体" w:eastAsia="宋体" w:cs="宋体"/>
                <w:color w:val="auto"/>
                <w:sz w:val="21"/>
                <w:szCs w:val="21"/>
                <w:lang w:eastAsia="zh-CN"/>
              </w:rPr>
              <w:t>评标委员会</w:t>
            </w:r>
            <w:r>
              <w:rPr>
                <w:rFonts w:hint="eastAsia" w:ascii="宋体" w:hAnsi="宋体" w:eastAsia="宋体" w:cs="宋体"/>
                <w:color w:val="auto"/>
                <w:sz w:val="21"/>
                <w:szCs w:val="21"/>
              </w:rPr>
              <w:t>根据投标人提供的</w:t>
            </w:r>
            <w:r>
              <w:rPr>
                <w:rFonts w:hint="eastAsia" w:ascii="宋体" w:hAnsi="宋体" w:eastAsia="宋体" w:cs="宋体"/>
                <w:color w:val="auto"/>
                <w:sz w:val="21"/>
                <w:szCs w:val="21"/>
                <w:lang w:eastAsia="zh-CN"/>
              </w:rPr>
              <w:t>方案</w:t>
            </w:r>
            <w:r>
              <w:rPr>
                <w:rFonts w:hint="eastAsia" w:ascii="宋体" w:hAnsi="宋体" w:eastAsia="宋体" w:cs="宋体"/>
                <w:color w:val="auto"/>
                <w:sz w:val="21"/>
                <w:szCs w:val="21"/>
              </w:rPr>
              <w:t>进行评审，优于项目需求得</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分，满足项目需求得</w:t>
            </w: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rPr>
              <w:t>分，不满足或不提供</w:t>
            </w:r>
            <w:r>
              <w:rPr>
                <w:rFonts w:hint="eastAsia" w:ascii="宋体" w:hAnsi="宋体" w:eastAsia="宋体" w:cs="宋体"/>
                <w:color w:val="auto"/>
                <w:sz w:val="21"/>
                <w:szCs w:val="21"/>
                <w:lang w:val="en-US" w:eastAsia="zh-CN"/>
              </w:rPr>
              <w:t>得0分。</w:t>
            </w:r>
          </w:p>
        </w:tc>
      </w:tr>
      <w:tr w14:paraId="118145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9" w:hRule="atLeast"/>
        </w:trPr>
        <w:tc>
          <w:tcPr>
            <w:tcW w:w="1231" w:type="dxa"/>
            <w:vMerge w:val="continue"/>
            <w:noWrap w:val="0"/>
            <w:vAlign w:val="top"/>
          </w:tcPr>
          <w:p w14:paraId="7321622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eastAsia" w:ascii="宋体" w:hAnsi="宋体" w:eastAsia="宋体" w:cs="宋体"/>
                <w:color w:val="auto"/>
                <w:sz w:val="21"/>
                <w:szCs w:val="21"/>
              </w:rPr>
            </w:pPr>
          </w:p>
        </w:tc>
        <w:tc>
          <w:tcPr>
            <w:tcW w:w="1312" w:type="dxa"/>
            <w:noWrap w:val="0"/>
            <w:vAlign w:val="center"/>
          </w:tcPr>
          <w:p w14:paraId="104DF135">
            <w:pPr>
              <w:adjustRightInd w:val="0"/>
              <w:snapToGrid w:val="0"/>
              <w:spacing w:line="288"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项目管理制度、工作流程标准</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分）</w:t>
            </w:r>
          </w:p>
        </w:tc>
        <w:tc>
          <w:tcPr>
            <w:tcW w:w="6313" w:type="dxa"/>
            <w:noWrap w:val="0"/>
            <w:vAlign w:val="center"/>
          </w:tcPr>
          <w:p w14:paraId="6318AFA8">
            <w:pPr>
              <w:ind w:firstLine="420" w:firstLineChars="0"/>
              <w:rPr>
                <w:rFonts w:hint="eastAsia" w:ascii="宋体" w:hAnsi="宋体" w:eastAsia="宋体" w:cs="宋体"/>
                <w:color w:val="auto"/>
                <w:sz w:val="21"/>
                <w:szCs w:val="21"/>
              </w:rPr>
            </w:pPr>
            <w:r>
              <w:rPr>
                <w:rFonts w:hint="eastAsia" w:ascii="宋体" w:hAnsi="宋体" w:eastAsia="宋体" w:cs="宋体"/>
                <w:color w:val="auto"/>
                <w:sz w:val="21"/>
                <w:szCs w:val="21"/>
              </w:rPr>
              <w:t>投标人根据招标文件</w:t>
            </w:r>
            <w:r>
              <w:rPr>
                <w:rFonts w:hint="eastAsia" w:ascii="宋体" w:hAnsi="宋体" w:eastAsia="宋体" w:cs="宋体"/>
                <w:color w:val="auto"/>
                <w:sz w:val="21"/>
                <w:szCs w:val="21"/>
                <w:lang w:eastAsia="zh-CN"/>
              </w:rPr>
              <w:t>第四章“</w:t>
            </w:r>
            <w:r>
              <w:rPr>
                <w:rFonts w:hint="eastAsia" w:ascii="宋体" w:hAnsi="宋体" w:eastAsia="宋体" w:cs="宋体"/>
                <w:color w:val="auto"/>
                <w:sz w:val="21"/>
                <w:szCs w:val="21"/>
              </w:rPr>
              <w:t>项目管理制度、工作流程标准</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要求，制定本项目项目管理制度、工作流程标准方案，方案</w:t>
            </w:r>
            <w:r>
              <w:rPr>
                <w:rFonts w:hint="eastAsia" w:ascii="宋体" w:hAnsi="宋体" w:eastAsia="宋体" w:cs="宋体"/>
                <w:color w:val="auto"/>
                <w:sz w:val="21"/>
                <w:szCs w:val="21"/>
                <w:lang w:eastAsia="zh-CN"/>
              </w:rPr>
              <w:t>至少包含</w:t>
            </w:r>
            <w:r>
              <w:rPr>
                <w:rFonts w:hint="eastAsia" w:ascii="宋体" w:hAnsi="宋体" w:eastAsia="宋体" w:cs="宋体"/>
                <w:color w:val="auto"/>
                <w:sz w:val="21"/>
                <w:szCs w:val="21"/>
              </w:rPr>
              <w:t>：1)卫生制度；2)留样制度；3)考核制度；4)食材加工制作流程；5)出餐收餐流程等方面内容。</w:t>
            </w:r>
            <w:r>
              <w:rPr>
                <w:rFonts w:hint="eastAsia" w:ascii="宋体" w:hAnsi="宋体" w:eastAsia="宋体" w:cs="宋体"/>
                <w:color w:val="auto"/>
                <w:sz w:val="21"/>
                <w:szCs w:val="21"/>
                <w:lang w:eastAsia="zh-CN"/>
              </w:rPr>
              <w:t>评标委员会</w:t>
            </w:r>
            <w:r>
              <w:rPr>
                <w:rFonts w:hint="eastAsia" w:ascii="宋体" w:hAnsi="宋体" w:eastAsia="宋体" w:cs="宋体"/>
                <w:color w:val="auto"/>
                <w:sz w:val="21"/>
                <w:szCs w:val="21"/>
              </w:rPr>
              <w:t>根据投标人提供的</w:t>
            </w:r>
            <w:r>
              <w:rPr>
                <w:rFonts w:hint="eastAsia" w:ascii="宋体" w:hAnsi="宋体" w:eastAsia="宋体" w:cs="宋体"/>
                <w:color w:val="auto"/>
                <w:sz w:val="21"/>
                <w:szCs w:val="21"/>
                <w:lang w:eastAsia="zh-CN"/>
              </w:rPr>
              <w:t>方案</w:t>
            </w:r>
            <w:r>
              <w:rPr>
                <w:rFonts w:hint="eastAsia" w:ascii="宋体" w:hAnsi="宋体" w:eastAsia="宋体" w:cs="宋体"/>
                <w:color w:val="auto"/>
                <w:sz w:val="21"/>
                <w:szCs w:val="21"/>
              </w:rPr>
              <w:t>进行评审，优于项目需求得</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分，满足项目需求得</w:t>
            </w: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rPr>
              <w:t>分，不满足或不提供</w:t>
            </w:r>
            <w:r>
              <w:rPr>
                <w:rFonts w:hint="eastAsia" w:ascii="宋体" w:hAnsi="宋体" w:eastAsia="宋体" w:cs="宋体"/>
                <w:color w:val="auto"/>
                <w:sz w:val="21"/>
                <w:szCs w:val="21"/>
                <w:lang w:val="en-US" w:eastAsia="zh-CN"/>
              </w:rPr>
              <w:t>得0分。</w:t>
            </w:r>
          </w:p>
        </w:tc>
      </w:tr>
      <w:tr w14:paraId="3B17F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1" w:type="dxa"/>
            <w:vMerge w:val="continue"/>
            <w:noWrap w:val="0"/>
            <w:vAlign w:val="top"/>
          </w:tcPr>
          <w:p w14:paraId="7211B69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eastAsia" w:ascii="宋体" w:hAnsi="宋体" w:eastAsia="宋体" w:cs="宋体"/>
                <w:color w:val="auto"/>
                <w:sz w:val="21"/>
                <w:szCs w:val="21"/>
              </w:rPr>
            </w:pPr>
          </w:p>
        </w:tc>
        <w:tc>
          <w:tcPr>
            <w:tcW w:w="1312" w:type="dxa"/>
            <w:noWrap w:val="0"/>
            <w:vAlign w:val="center"/>
          </w:tcPr>
          <w:p w14:paraId="4A808C2E">
            <w:pPr>
              <w:adjustRightInd w:val="0"/>
              <w:snapToGrid w:val="0"/>
              <w:spacing w:line="288"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原材料安全管理方案</w:t>
            </w:r>
          </w:p>
          <w:p w14:paraId="666B7409">
            <w:pPr>
              <w:adjustRightInd w:val="0"/>
              <w:snapToGrid w:val="0"/>
              <w:spacing w:line="288"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分）</w:t>
            </w:r>
          </w:p>
        </w:tc>
        <w:tc>
          <w:tcPr>
            <w:tcW w:w="6313" w:type="dxa"/>
            <w:noWrap w:val="0"/>
            <w:vAlign w:val="center"/>
          </w:tcPr>
          <w:p w14:paraId="5F42A827">
            <w:pPr>
              <w:pStyle w:val="4"/>
              <w:ind w:firstLine="420" w:firstLineChars="0"/>
              <w:rPr>
                <w:rFonts w:hint="eastAsia" w:ascii="宋体" w:hAnsi="宋体" w:eastAsia="宋体" w:cs="宋体"/>
                <w:color w:val="auto"/>
                <w:sz w:val="21"/>
                <w:szCs w:val="21"/>
              </w:rPr>
            </w:pPr>
            <w:r>
              <w:rPr>
                <w:rFonts w:hint="eastAsia" w:ascii="宋体" w:hAnsi="宋体" w:eastAsia="宋体" w:cs="宋体"/>
                <w:color w:val="auto"/>
                <w:sz w:val="21"/>
                <w:szCs w:val="21"/>
              </w:rPr>
              <w:t>投标人根据招标文件</w:t>
            </w:r>
            <w:r>
              <w:rPr>
                <w:rFonts w:hint="eastAsia" w:ascii="宋体" w:hAnsi="宋体" w:eastAsia="宋体" w:cs="宋体"/>
                <w:color w:val="auto"/>
                <w:sz w:val="21"/>
                <w:szCs w:val="21"/>
                <w:lang w:eastAsia="zh-CN"/>
              </w:rPr>
              <w:t>第四章“</w:t>
            </w:r>
            <w:r>
              <w:rPr>
                <w:rFonts w:hint="eastAsia" w:ascii="宋体" w:hAnsi="宋体" w:eastAsia="宋体" w:cs="宋体"/>
                <w:color w:val="auto"/>
                <w:sz w:val="21"/>
                <w:szCs w:val="21"/>
              </w:rPr>
              <w:t>原材料安全管理方案</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要求，制定本项目原材料安全管理方案，方案</w:t>
            </w:r>
            <w:r>
              <w:rPr>
                <w:rFonts w:hint="eastAsia" w:ascii="宋体" w:hAnsi="宋体" w:eastAsia="宋体" w:cs="宋体"/>
                <w:color w:val="auto"/>
                <w:sz w:val="21"/>
                <w:szCs w:val="21"/>
                <w:lang w:eastAsia="zh-CN"/>
              </w:rPr>
              <w:t>至少包含</w:t>
            </w:r>
            <w:r>
              <w:rPr>
                <w:rFonts w:hint="eastAsia" w:ascii="宋体" w:hAnsi="宋体" w:eastAsia="宋体" w:cs="宋体"/>
                <w:color w:val="auto"/>
                <w:sz w:val="21"/>
                <w:szCs w:val="21"/>
              </w:rPr>
              <w:t>：1)对原材料管理方法；2)验货标准；3)库房管理等方面内容。</w:t>
            </w:r>
            <w:r>
              <w:rPr>
                <w:rFonts w:hint="eastAsia" w:ascii="宋体" w:hAnsi="宋体" w:eastAsia="宋体" w:cs="宋体"/>
                <w:color w:val="auto"/>
                <w:sz w:val="21"/>
                <w:szCs w:val="21"/>
                <w:lang w:eastAsia="zh-CN"/>
              </w:rPr>
              <w:t>评标委员会</w:t>
            </w:r>
            <w:r>
              <w:rPr>
                <w:rFonts w:hint="eastAsia" w:ascii="宋体" w:hAnsi="宋体" w:eastAsia="宋体" w:cs="宋体"/>
                <w:color w:val="auto"/>
                <w:sz w:val="21"/>
                <w:szCs w:val="21"/>
              </w:rPr>
              <w:t>根据投标人提供的</w:t>
            </w:r>
            <w:r>
              <w:rPr>
                <w:rFonts w:hint="eastAsia" w:ascii="宋体" w:hAnsi="宋体" w:eastAsia="宋体" w:cs="宋体"/>
                <w:color w:val="auto"/>
                <w:sz w:val="21"/>
                <w:szCs w:val="21"/>
                <w:lang w:eastAsia="zh-CN"/>
              </w:rPr>
              <w:t>方案</w:t>
            </w:r>
            <w:r>
              <w:rPr>
                <w:rFonts w:hint="eastAsia" w:ascii="宋体" w:hAnsi="宋体" w:eastAsia="宋体" w:cs="宋体"/>
                <w:color w:val="auto"/>
                <w:sz w:val="21"/>
                <w:szCs w:val="21"/>
              </w:rPr>
              <w:t>进行评审，优于项目需求得</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分，满足项目需求得</w:t>
            </w: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rPr>
              <w:t>分，不满足或不提供</w:t>
            </w:r>
            <w:r>
              <w:rPr>
                <w:rFonts w:hint="eastAsia" w:ascii="宋体" w:hAnsi="宋体" w:eastAsia="宋体" w:cs="宋体"/>
                <w:color w:val="auto"/>
                <w:sz w:val="21"/>
                <w:szCs w:val="21"/>
                <w:lang w:val="en-US" w:eastAsia="zh-CN"/>
              </w:rPr>
              <w:t>得0分。</w:t>
            </w:r>
          </w:p>
        </w:tc>
      </w:tr>
      <w:tr w14:paraId="75E27F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1" w:type="dxa"/>
            <w:vMerge w:val="continue"/>
            <w:noWrap w:val="0"/>
            <w:vAlign w:val="top"/>
          </w:tcPr>
          <w:p w14:paraId="0F49A15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eastAsia" w:ascii="宋体" w:hAnsi="宋体" w:eastAsia="宋体" w:cs="宋体"/>
                <w:color w:val="auto"/>
                <w:sz w:val="21"/>
                <w:szCs w:val="21"/>
              </w:rPr>
            </w:pPr>
          </w:p>
        </w:tc>
        <w:tc>
          <w:tcPr>
            <w:tcW w:w="1312" w:type="dxa"/>
            <w:noWrap w:val="0"/>
            <w:vAlign w:val="center"/>
          </w:tcPr>
          <w:p w14:paraId="1DB06271">
            <w:pPr>
              <w:adjustRightInd w:val="0"/>
              <w:snapToGrid w:val="0"/>
              <w:spacing w:line="288" w:lineRule="auto"/>
              <w:jc w:val="center"/>
              <w:rPr>
                <w:rFonts w:hint="eastAsia" w:ascii="宋体" w:hAnsi="宋体" w:eastAsia="宋体" w:cs="宋体"/>
                <w:color w:val="auto"/>
                <w:sz w:val="21"/>
                <w:szCs w:val="21"/>
              </w:rPr>
            </w:pPr>
            <w:r>
              <w:rPr>
                <w:rFonts w:hint="eastAsia" w:ascii="宋体" w:hAnsi="宋体" w:eastAsia="宋体" w:cs="宋体"/>
                <w:b w:val="0"/>
                <w:bCs w:val="0"/>
                <w:color w:val="auto"/>
                <w:sz w:val="21"/>
                <w:szCs w:val="21"/>
              </w:rPr>
              <w:t>应急保障方案</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分）</w:t>
            </w:r>
          </w:p>
        </w:tc>
        <w:tc>
          <w:tcPr>
            <w:tcW w:w="6313" w:type="dxa"/>
            <w:noWrap w:val="0"/>
            <w:vAlign w:val="center"/>
          </w:tcPr>
          <w:p w14:paraId="67CAF190">
            <w:pPr>
              <w:ind w:firstLine="420" w:firstLineChars="0"/>
              <w:rPr>
                <w:rFonts w:hint="eastAsia" w:ascii="宋体" w:hAnsi="宋体" w:eastAsia="宋体" w:cs="宋体"/>
                <w:color w:val="auto"/>
                <w:sz w:val="21"/>
                <w:szCs w:val="21"/>
              </w:rPr>
            </w:pPr>
            <w:r>
              <w:rPr>
                <w:rFonts w:hint="eastAsia" w:ascii="宋体" w:hAnsi="宋体" w:eastAsia="宋体" w:cs="宋体"/>
                <w:color w:val="auto"/>
                <w:sz w:val="21"/>
                <w:szCs w:val="21"/>
              </w:rPr>
              <w:t>投标人根据招标文件</w:t>
            </w:r>
            <w:r>
              <w:rPr>
                <w:rFonts w:hint="eastAsia" w:ascii="宋体" w:hAnsi="宋体" w:eastAsia="宋体" w:cs="宋体"/>
                <w:color w:val="auto"/>
                <w:sz w:val="21"/>
                <w:szCs w:val="21"/>
                <w:lang w:eastAsia="zh-CN"/>
              </w:rPr>
              <w:t>第四章“</w:t>
            </w:r>
            <w:r>
              <w:rPr>
                <w:rFonts w:hint="eastAsia" w:ascii="宋体" w:hAnsi="宋体" w:eastAsia="宋体" w:cs="宋体"/>
                <w:b w:val="0"/>
                <w:bCs w:val="0"/>
                <w:color w:val="auto"/>
                <w:sz w:val="21"/>
                <w:szCs w:val="21"/>
              </w:rPr>
              <w:t>应急保障方案</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要求，制定本项目应急保障方案，方案</w:t>
            </w:r>
            <w:r>
              <w:rPr>
                <w:rFonts w:hint="eastAsia" w:ascii="宋体" w:hAnsi="宋体" w:eastAsia="宋体" w:cs="宋体"/>
                <w:color w:val="auto"/>
                <w:sz w:val="21"/>
                <w:szCs w:val="21"/>
                <w:lang w:eastAsia="zh-CN"/>
              </w:rPr>
              <w:t>至少包含</w:t>
            </w:r>
            <w:r>
              <w:rPr>
                <w:rFonts w:hint="eastAsia" w:ascii="宋体" w:hAnsi="宋体" w:eastAsia="宋体" w:cs="宋体"/>
                <w:color w:val="auto"/>
                <w:sz w:val="21"/>
                <w:szCs w:val="21"/>
              </w:rPr>
              <w:t>：1)餐厅停水、停电；2)消防安全；3)食物中毒及生产安全；4)满足临时</w:t>
            </w:r>
            <w:r>
              <w:rPr>
                <w:rFonts w:hint="eastAsia" w:ascii="宋体" w:hAnsi="宋体" w:eastAsia="宋体" w:cs="宋体"/>
                <w:color w:val="auto"/>
                <w:sz w:val="21"/>
                <w:szCs w:val="21"/>
                <w:lang w:val="en-US" w:eastAsia="zh-CN"/>
              </w:rPr>
              <w:t>任务</w:t>
            </w:r>
            <w:r>
              <w:rPr>
                <w:rFonts w:hint="eastAsia" w:ascii="宋体" w:hAnsi="宋体" w:eastAsia="宋体" w:cs="宋体"/>
                <w:color w:val="auto"/>
                <w:sz w:val="21"/>
                <w:szCs w:val="21"/>
              </w:rPr>
              <w:t>保障服务等方面内容。</w:t>
            </w:r>
            <w:r>
              <w:rPr>
                <w:rFonts w:hint="eastAsia" w:ascii="宋体" w:hAnsi="宋体" w:eastAsia="宋体" w:cs="宋体"/>
                <w:color w:val="auto"/>
                <w:sz w:val="21"/>
                <w:szCs w:val="21"/>
                <w:lang w:eastAsia="zh-CN"/>
              </w:rPr>
              <w:t>评标委员会</w:t>
            </w:r>
            <w:r>
              <w:rPr>
                <w:rFonts w:hint="eastAsia" w:ascii="宋体" w:hAnsi="宋体" w:eastAsia="宋体" w:cs="宋体"/>
                <w:color w:val="auto"/>
                <w:sz w:val="21"/>
                <w:szCs w:val="21"/>
              </w:rPr>
              <w:t>根据投标人提供的</w:t>
            </w:r>
            <w:r>
              <w:rPr>
                <w:rFonts w:hint="eastAsia" w:ascii="宋体" w:hAnsi="宋体" w:eastAsia="宋体" w:cs="宋体"/>
                <w:color w:val="auto"/>
                <w:sz w:val="21"/>
                <w:szCs w:val="21"/>
                <w:lang w:eastAsia="zh-CN"/>
              </w:rPr>
              <w:t>方案</w:t>
            </w:r>
            <w:r>
              <w:rPr>
                <w:rFonts w:hint="eastAsia" w:ascii="宋体" w:hAnsi="宋体" w:eastAsia="宋体" w:cs="宋体"/>
                <w:color w:val="auto"/>
                <w:sz w:val="21"/>
                <w:szCs w:val="21"/>
              </w:rPr>
              <w:t>进行评审，优于项目需求得</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分，满足项目需求得</w:t>
            </w: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rPr>
              <w:t>分，不满足或不提供</w:t>
            </w:r>
            <w:r>
              <w:rPr>
                <w:rFonts w:hint="eastAsia" w:ascii="宋体" w:hAnsi="宋体" w:eastAsia="宋体" w:cs="宋体"/>
                <w:color w:val="auto"/>
                <w:sz w:val="21"/>
                <w:szCs w:val="21"/>
                <w:lang w:val="en-US" w:eastAsia="zh-CN"/>
              </w:rPr>
              <w:t>得0分。</w:t>
            </w:r>
          </w:p>
        </w:tc>
      </w:tr>
      <w:tr w14:paraId="07B7C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7" w:hRule="atLeast"/>
        </w:trPr>
        <w:tc>
          <w:tcPr>
            <w:tcW w:w="1231" w:type="dxa"/>
            <w:vMerge w:val="continue"/>
            <w:noWrap w:val="0"/>
            <w:vAlign w:val="top"/>
          </w:tcPr>
          <w:p w14:paraId="34567F7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eastAsia" w:ascii="宋体" w:hAnsi="宋体" w:eastAsia="宋体" w:cs="宋体"/>
                <w:color w:val="auto"/>
                <w:sz w:val="21"/>
                <w:szCs w:val="21"/>
              </w:rPr>
            </w:pPr>
          </w:p>
        </w:tc>
        <w:tc>
          <w:tcPr>
            <w:tcW w:w="1312" w:type="dxa"/>
            <w:noWrap w:val="0"/>
            <w:vAlign w:val="center"/>
          </w:tcPr>
          <w:p w14:paraId="03DE1481">
            <w:pPr>
              <w:adjustRightInd w:val="0"/>
              <w:snapToGrid w:val="0"/>
              <w:spacing w:line="288"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项目交接及开业方案</w:t>
            </w:r>
          </w:p>
          <w:p w14:paraId="1E119FFC">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分）</w:t>
            </w:r>
          </w:p>
        </w:tc>
        <w:tc>
          <w:tcPr>
            <w:tcW w:w="6313" w:type="dxa"/>
            <w:noWrap w:val="0"/>
            <w:vAlign w:val="center"/>
          </w:tcPr>
          <w:p w14:paraId="2268D297">
            <w:pPr>
              <w:adjustRightInd w:val="0"/>
              <w:snapToGrid w:val="0"/>
              <w:spacing w:line="288" w:lineRule="auto"/>
              <w:ind w:firstLine="420" w:firstLineChars="200"/>
              <w:jc w:val="lef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投标人根据招标文件</w:t>
            </w:r>
            <w:r>
              <w:rPr>
                <w:rFonts w:hint="eastAsia" w:ascii="宋体" w:hAnsi="宋体" w:eastAsia="宋体" w:cs="宋体"/>
                <w:color w:val="auto"/>
                <w:sz w:val="21"/>
                <w:szCs w:val="21"/>
                <w:lang w:eastAsia="zh-CN"/>
              </w:rPr>
              <w:t>第四章“</w:t>
            </w:r>
            <w:r>
              <w:rPr>
                <w:rFonts w:hint="eastAsia" w:ascii="宋体" w:hAnsi="宋体" w:eastAsia="宋体" w:cs="宋体"/>
                <w:color w:val="auto"/>
                <w:sz w:val="21"/>
                <w:szCs w:val="21"/>
              </w:rPr>
              <w:t>项目交接及开业方案</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要求，制定本项目项目交接及开业方案，方案</w:t>
            </w:r>
            <w:r>
              <w:rPr>
                <w:rFonts w:hint="eastAsia" w:ascii="宋体" w:hAnsi="宋体" w:eastAsia="宋体" w:cs="宋体"/>
                <w:color w:val="auto"/>
                <w:sz w:val="21"/>
                <w:szCs w:val="21"/>
                <w:lang w:eastAsia="zh-CN"/>
              </w:rPr>
              <w:t>至少包含</w:t>
            </w:r>
            <w:r>
              <w:rPr>
                <w:rFonts w:hint="eastAsia" w:ascii="宋体" w:hAnsi="宋体" w:eastAsia="宋体" w:cs="宋体"/>
                <w:color w:val="auto"/>
                <w:sz w:val="21"/>
                <w:szCs w:val="21"/>
              </w:rPr>
              <w:t>：1)</w:t>
            </w:r>
            <w:r>
              <w:rPr>
                <w:rFonts w:hint="eastAsia" w:ascii="宋体" w:hAnsi="宋体" w:cs="宋体"/>
                <w:b w:val="0"/>
                <w:bCs w:val="0"/>
                <w:color w:val="auto"/>
                <w:kern w:val="2"/>
                <w:sz w:val="21"/>
                <w:szCs w:val="21"/>
                <w:lang w:val="en-US" w:eastAsia="zh-CN" w:bidi="ar-SA"/>
              </w:rPr>
              <w:t>项目交接工作方案；2）开业前全面筹备工作；3）正式开业运营保障方案等方面内容，评标委员会</w:t>
            </w:r>
            <w:r>
              <w:rPr>
                <w:rFonts w:hint="eastAsia" w:ascii="宋体" w:hAnsi="宋体" w:eastAsia="宋体" w:cs="宋体"/>
                <w:color w:val="auto"/>
                <w:sz w:val="21"/>
                <w:szCs w:val="21"/>
              </w:rPr>
              <w:t>根据投标人提供的</w:t>
            </w:r>
            <w:r>
              <w:rPr>
                <w:rFonts w:hint="eastAsia" w:ascii="宋体" w:hAnsi="宋体" w:eastAsia="宋体" w:cs="宋体"/>
                <w:color w:val="auto"/>
                <w:sz w:val="21"/>
                <w:szCs w:val="21"/>
                <w:lang w:eastAsia="zh-CN"/>
              </w:rPr>
              <w:t>方案</w:t>
            </w:r>
            <w:r>
              <w:rPr>
                <w:rFonts w:hint="eastAsia" w:ascii="宋体" w:hAnsi="宋体" w:eastAsia="宋体" w:cs="宋体"/>
                <w:color w:val="auto"/>
                <w:sz w:val="21"/>
                <w:szCs w:val="21"/>
              </w:rPr>
              <w:t>进行评审，优于项目需求得</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分，满足项目需求得</w:t>
            </w: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rPr>
              <w:t>分，不满足或不提供</w:t>
            </w:r>
            <w:r>
              <w:rPr>
                <w:rFonts w:hint="eastAsia" w:ascii="宋体" w:hAnsi="宋体" w:eastAsia="宋体" w:cs="宋体"/>
                <w:color w:val="auto"/>
                <w:sz w:val="21"/>
                <w:szCs w:val="21"/>
                <w:lang w:val="en-US" w:eastAsia="zh-CN"/>
              </w:rPr>
              <w:t>得0分。</w:t>
            </w:r>
          </w:p>
        </w:tc>
      </w:tr>
      <w:tr w14:paraId="0C604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1" w:type="dxa"/>
            <w:vMerge w:val="continue"/>
            <w:noWrap w:val="0"/>
            <w:vAlign w:val="top"/>
          </w:tcPr>
          <w:p w14:paraId="1F94CB5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eastAsia" w:ascii="宋体" w:hAnsi="宋体" w:eastAsia="宋体" w:cs="宋体"/>
                <w:color w:val="auto"/>
                <w:sz w:val="21"/>
                <w:szCs w:val="21"/>
              </w:rPr>
            </w:pPr>
          </w:p>
        </w:tc>
        <w:tc>
          <w:tcPr>
            <w:tcW w:w="1312" w:type="dxa"/>
            <w:noWrap w:val="0"/>
            <w:vAlign w:val="center"/>
          </w:tcPr>
          <w:p w14:paraId="600C51B4">
            <w:pPr>
              <w:adjustRightInd w:val="0"/>
              <w:snapToGrid w:val="0"/>
              <w:spacing w:line="288"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创新与建议（</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分）</w:t>
            </w:r>
          </w:p>
        </w:tc>
        <w:tc>
          <w:tcPr>
            <w:tcW w:w="6313" w:type="dxa"/>
            <w:noWrap w:val="0"/>
            <w:vAlign w:val="center"/>
          </w:tcPr>
          <w:p w14:paraId="7A48261F">
            <w:pPr>
              <w:adjustRightInd w:val="0"/>
              <w:snapToGrid w:val="0"/>
              <w:spacing w:line="288" w:lineRule="auto"/>
              <w:ind w:firstLine="420" w:firstLineChars="200"/>
              <w:jc w:val="left"/>
              <w:rPr>
                <w:rFonts w:hint="default" w:ascii="宋体" w:hAnsi="宋体" w:eastAsia="宋体" w:cs="宋体"/>
                <w:color w:val="auto"/>
                <w:sz w:val="21"/>
                <w:szCs w:val="21"/>
                <w:lang w:val="en-US"/>
              </w:rPr>
            </w:pPr>
            <w:r>
              <w:rPr>
                <w:rFonts w:hint="eastAsia" w:ascii="宋体" w:hAnsi="宋体" w:eastAsia="宋体" w:cs="宋体"/>
                <w:color w:val="auto"/>
                <w:sz w:val="21"/>
                <w:szCs w:val="21"/>
              </w:rPr>
              <w:t>投标人根据招标文件</w:t>
            </w:r>
            <w:r>
              <w:rPr>
                <w:rFonts w:hint="eastAsia" w:ascii="宋体" w:hAnsi="宋体" w:eastAsia="宋体" w:cs="宋体"/>
                <w:color w:val="auto"/>
                <w:sz w:val="21"/>
                <w:szCs w:val="21"/>
                <w:lang w:eastAsia="zh-CN"/>
              </w:rPr>
              <w:t>第四章“</w:t>
            </w:r>
            <w:r>
              <w:rPr>
                <w:rFonts w:hint="eastAsia" w:ascii="宋体" w:hAnsi="宋体" w:eastAsia="宋体" w:cs="宋体"/>
                <w:color w:val="auto"/>
                <w:sz w:val="21"/>
                <w:szCs w:val="21"/>
              </w:rPr>
              <w:t>创新与建议</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要求，制定本项目创新与建议方案，方案</w:t>
            </w:r>
            <w:r>
              <w:rPr>
                <w:rFonts w:hint="eastAsia" w:ascii="宋体" w:hAnsi="宋体" w:eastAsia="宋体" w:cs="宋体"/>
                <w:color w:val="auto"/>
                <w:sz w:val="21"/>
                <w:szCs w:val="21"/>
                <w:lang w:eastAsia="zh-CN"/>
              </w:rPr>
              <w:t>至少包含</w:t>
            </w:r>
            <w:r>
              <w:rPr>
                <w:rFonts w:hint="eastAsia" w:ascii="宋体" w:hAnsi="宋体" w:eastAsia="宋体" w:cs="宋体"/>
                <w:color w:val="auto"/>
                <w:sz w:val="21"/>
                <w:szCs w:val="21"/>
              </w:rPr>
              <w:t>：1)</w:t>
            </w:r>
            <w:r>
              <w:rPr>
                <w:rFonts w:hint="eastAsia" w:ascii="宋体" w:hAnsi="宋体" w:cs="宋体"/>
                <w:b w:val="0"/>
                <w:bCs w:val="0"/>
                <w:color w:val="auto"/>
                <w:kern w:val="2"/>
                <w:sz w:val="21"/>
                <w:szCs w:val="21"/>
                <w:lang w:val="en-US" w:eastAsia="zh-CN" w:bidi="ar-SA"/>
              </w:rPr>
              <w:t>菜品餐饮创新；2）食品安全与管控创新；3）环境卫生与消杀常态化创新等方面内容，评标委员会</w:t>
            </w:r>
            <w:r>
              <w:rPr>
                <w:rFonts w:hint="eastAsia" w:ascii="宋体" w:hAnsi="宋体" w:eastAsia="宋体" w:cs="宋体"/>
                <w:color w:val="auto"/>
                <w:sz w:val="21"/>
                <w:szCs w:val="21"/>
              </w:rPr>
              <w:t>根据投标人提供的</w:t>
            </w:r>
            <w:r>
              <w:rPr>
                <w:rFonts w:hint="eastAsia" w:ascii="宋体" w:hAnsi="宋体" w:eastAsia="宋体" w:cs="宋体"/>
                <w:color w:val="auto"/>
                <w:sz w:val="21"/>
                <w:szCs w:val="21"/>
                <w:lang w:eastAsia="zh-CN"/>
              </w:rPr>
              <w:t>方案</w:t>
            </w:r>
            <w:r>
              <w:rPr>
                <w:rFonts w:hint="eastAsia" w:ascii="宋体" w:hAnsi="宋体" w:eastAsia="宋体" w:cs="宋体"/>
                <w:color w:val="auto"/>
                <w:sz w:val="21"/>
                <w:szCs w:val="21"/>
              </w:rPr>
              <w:t>进行评审，优于项目需求得</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分，满足项目需求得</w:t>
            </w: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rPr>
              <w:t>分，不满足或不提供</w:t>
            </w:r>
            <w:r>
              <w:rPr>
                <w:rFonts w:hint="eastAsia" w:ascii="宋体" w:hAnsi="宋体" w:eastAsia="宋体" w:cs="宋体"/>
                <w:color w:val="auto"/>
                <w:sz w:val="21"/>
                <w:szCs w:val="21"/>
                <w:lang w:val="en-US" w:eastAsia="zh-CN"/>
              </w:rPr>
              <w:t>得0分。</w:t>
            </w:r>
          </w:p>
        </w:tc>
      </w:tr>
      <w:tr w14:paraId="5848A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 w:hRule="atLeast"/>
        </w:trPr>
        <w:tc>
          <w:tcPr>
            <w:tcW w:w="2543" w:type="dxa"/>
            <w:gridSpan w:val="2"/>
            <w:noWrap w:val="0"/>
            <w:vAlign w:val="center"/>
          </w:tcPr>
          <w:p w14:paraId="306D98AF">
            <w:pPr>
              <w:spacing w:line="400" w:lineRule="exact"/>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rPr>
              <w:t>企业业绩</w:t>
            </w:r>
          </w:p>
          <w:p w14:paraId="5F9B9EC9">
            <w:pPr>
              <w:spacing w:line="400" w:lineRule="exact"/>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w:t>
            </w:r>
            <w:r>
              <w:rPr>
                <w:rFonts w:hint="eastAsia" w:ascii="宋体" w:hAnsi="宋体" w:eastAsia="宋体" w:cs="宋体"/>
                <w:b/>
                <w:bCs/>
                <w:color w:val="auto"/>
                <w:sz w:val="21"/>
                <w:szCs w:val="21"/>
                <w:lang w:val="en-US" w:eastAsia="zh-CN"/>
              </w:rPr>
              <w:t>4</w:t>
            </w:r>
            <w:r>
              <w:rPr>
                <w:rFonts w:hint="eastAsia" w:ascii="宋体" w:hAnsi="宋体" w:eastAsia="宋体" w:cs="宋体"/>
                <w:b/>
                <w:bCs/>
                <w:color w:val="auto"/>
                <w:sz w:val="21"/>
                <w:szCs w:val="21"/>
              </w:rPr>
              <w:t>分）</w:t>
            </w:r>
          </w:p>
        </w:tc>
        <w:tc>
          <w:tcPr>
            <w:tcW w:w="6313" w:type="dxa"/>
            <w:noWrap w:val="0"/>
            <w:vAlign w:val="center"/>
          </w:tcPr>
          <w:p w14:paraId="7C55671E">
            <w:pPr>
              <w:ind w:firstLine="420" w:firstLineChars="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投标</w:t>
            </w:r>
            <w:r>
              <w:rPr>
                <w:rFonts w:hint="eastAsia" w:ascii="宋体" w:hAnsi="宋体" w:eastAsia="宋体" w:cs="宋体"/>
                <w:color w:val="auto"/>
                <w:sz w:val="21"/>
                <w:szCs w:val="21"/>
                <w:lang w:eastAsia="zh-CN"/>
              </w:rPr>
              <w:t>供应商</w:t>
            </w:r>
            <w:r>
              <w:rPr>
                <w:rFonts w:hint="eastAsia" w:ascii="宋体" w:hAnsi="宋体" w:eastAsia="宋体" w:cs="宋体"/>
                <w:color w:val="auto"/>
                <w:kern w:val="2"/>
                <w:sz w:val="21"/>
                <w:szCs w:val="21"/>
                <w:lang w:val="en-US" w:eastAsia="zh-CN" w:bidi="ar-SA"/>
              </w:rPr>
              <w:t>自2023年4月1日以来承担过类似食堂外包服务的，每提供一个案例得2分，本项最多得4分。</w:t>
            </w:r>
          </w:p>
          <w:p w14:paraId="5C2B95FB">
            <w:pPr>
              <w:ind w:firstLine="420" w:firstLineChars="0"/>
              <w:rPr>
                <w:rFonts w:hint="eastAsia" w:ascii="宋体" w:hAnsi="宋体" w:eastAsia="宋体" w:cs="宋体"/>
                <w:color w:val="auto"/>
                <w:kern w:val="2"/>
                <w:sz w:val="21"/>
                <w:szCs w:val="21"/>
                <w:lang w:val="en-US" w:eastAsia="zh-CN"/>
              </w:rPr>
            </w:pPr>
            <w:r>
              <w:rPr>
                <w:rFonts w:hint="eastAsia" w:ascii="宋体" w:hAnsi="宋体" w:eastAsia="宋体" w:cs="宋体"/>
                <w:b/>
                <w:bCs/>
                <w:color w:val="auto"/>
                <w:kern w:val="2"/>
                <w:sz w:val="21"/>
                <w:szCs w:val="21"/>
                <w:lang w:val="en-US" w:eastAsia="zh-CN" w:bidi="ar-SA"/>
              </w:rPr>
              <w:t>注：投标时须提供服务合同原件扫描件并加盖投标人公章，未提供的不得分。</w:t>
            </w:r>
          </w:p>
        </w:tc>
      </w:tr>
      <w:tr w14:paraId="3A210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 w:hRule="atLeast"/>
        </w:trPr>
        <w:tc>
          <w:tcPr>
            <w:tcW w:w="2543" w:type="dxa"/>
            <w:gridSpan w:val="2"/>
            <w:noWrap w:val="0"/>
            <w:vAlign w:val="center"/>
          </w:tcPr>
          <w:p w14:paraId="2F72B906">
            <w:pPr>
              <w:spacing w:line="400" w:lineRule="exact"/>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企业实力（2分）</w:t>
            </w:r>
          </w:p>
        </w:tc>
        <w:tc>
          <w:tcPr>
            <w:tcW w:w="6313" w:type="dxa"/>
            <w:noWrap w:val="0"/>
            <w:vAlign w:val="center"/>
          </w:tcPr>
          <w:p w14:paraId="3EE8C5C6">
            <w:pPr>
              <w:ind w:firstLine="42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投标人具有有效期内的质量管理体系认证证书、环境管理体系认证证书，每提供一项得1分，最高2分。</w:t>
            </w:r>
          </w:p>
          <w:p w14:paraId="51D13853">
            <w:pPr>
              <w:ind w:firstLine="420" w:firstLineChars="0"/>
              <w:rPr>
                <w:rFonts w:hint="eastAsia" w:ascii="宋体" w:hAnsi="宋体" w:eastAsia="宋体" w:cs="宋体"/>
                <w:color w:val="auto"/>
                <w:kern w:val="2"/>
                <w:sz w:val="21"/>
                <w:szCs w:val="21"/>
                <w:highlight w:val="yellow"/>
                <w:lang w:val="en-US" w:eastAsia="zh-CN" w:bidi="ar-SA"/>
              </w:rPr>
            </w:pPr>
            <w:r>
              <w:rPr>
                <w:rFonts w:hint="eastAsia" w:ascii="宋体" w:hAnsi="宋体" w:eastAsia="宋体" w:cs="宋体"/>
                <w:b/>
                <w:bCs/>
                <w:color w:val="auto"/>
                <w:kern w:val="2"/>
                <w:sz w:val="21"/>
                <w:szCs w:val="21"/>
                <w:highlight w:val="none"/>
                <w:lang w:val="en-US" w:eastAsia="zh-CN" w:bidi="ar-SA"/>
              </w:rPr>
              <w:t>注：需提供有效期内证书原件扫描件并加盖公章，认证证书可通过“国家认证认可监督管理委员会”网站查询，并在有效状态，投标人提供网站查询结果截屏，不提供不得分。</w:t>
            </w:r>
          </w:p>
        </w:tc>
      </w:tr>
    </w:tbl>
    <w:p w14:paraId="1349E0D5">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4EB73AD8">
      <w:pPr>
        <w:pStyle w:val="7"/>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第六章  投标文件格式 </w:t>
      </w:r>
    </w:p>
    <w:p w14:paraId="001158B4">
      <w:pPr>
        <w:pStyle w:val="7"/>
        <w:spacing w:beforeAutospacing="0" w:afterAutospacing="0"/>
        <w:jc w:val="center"/>
        <w:rPr>
          <w:color w:val="auto"/>
          <w:highlight w:val="none"/>
        </w:rPr>
      </w:pPr>
      <w:bookmarkStart w:id="181" w:name="_Hlt26671244"/>
      <w:bookmarkEnd w:id="181"/>
      <w:bookmarkStart w:id="182" w:name="_Toc26554094"/>
      <w:bookmarkEnd w:id="182"/>
      <w:bookmarkStart w:id="183" w:name="_Hlt26955039"/>
      <w:bookmarkEnd w:id="183"/>
      <w:bookmarkStart w:id="184" w:name="_Toc49090576"/>
      <w:bookmarkStart w:id="185" w:name="_Toc120614282"/>
      <w:r>
        <w:rPr>
          <w:rFonts w:hint="eastAsia" w:ascii="宋体" w:hAnsi="宋体" w:eastAsia="宋体" w:cs="宋体"/>
          <w:b/>
          <w:color w:val="auto"/>
          <w:sz w:val="72"/>
          <w:szCs w:val="72"/>
          <w:highlight w:val="none"/>
        </w:rPr>
        <w:t>投  标  文  件</w:t>
      </w:r>
    </w:p>
    <w:p w14:paraId="3FB98DAA">
      <w:pPr>
        <w:pStyle w:val="7"/>
        <w:spacing w:beforeAutospacing="0" w:afterAutospacing="0"/>
        <w:jc w:val="center"/>
        <w:rPr>
          <w:color w:val="auto"/>
          <w:highlight w:val="none"/>
        </w:rPr>
      </w:pPr>
      <w:r>
        <w:rPr>
          <w:color w:val="auto"/>
          <w:highlight w:val="none"/>
        </w:rPr>
        <w:t> </w:t>
      </w:r>
    </w:p>
    <w:p w14:paraId="260B57E0">
      <w:pPr>
        <w:pStyle w:val="7"/>
        <w:spacing w:beforeAutospacing="0" w:afterAutospacing="0"/>
        <w:jc w:val="center"/>
        <w:rPr>
          <w:color w:val="auto"/>
          <w:highlight w:val="none"/>
        </w:rPr>
      </w:pPr>
      <w:r>
        <w:rPr>
          <w:color w:val="auto"/>
          <w:highlight w:val="none"/>
        </w:rPr>
        <w:t> </w:t>
      </w:r>
    </w:p>
    <w:p w14:paraId="672457CC">
      <w:pPr>
        <w:pStyle w:val="7"/>
        <w:spacing w:beforeAutospacing="0" w:afterAutospacing="0"/>
        <w:jc w:val="center"/>
        <w:rPr>
          <w:color w:val="auto"/>
          <w:highlight w:val="none"/>
        </w:rPr>
      </w:pPr>
      <w:r>
        <w:rPr>
          <w:color w:val="auto"/>
          <w:highlight w:val="none"/>
        </w:rPr>
        <w:t> </w:t>
      </w:r>
    </w:p>
    <w:p w14:paraId="3C91F425">
      <w:pPr>
        <w:pStyle w:val="7"/>
        <w:spacing w:beforeAutospacing="0" w:afterAutospacing="0"/>
        <w:jc w:val="center"/>
        <w:rPr>
          <w:color w:val="auto"/>
          <w:highlight w:val="none"/>
        </w:rPr>
      </w:pPr>
      <w:r>
        <w:rPr>
          <w:color w:val="auto"/>
          <w:highlight w:val="none"/>
        </w:rPr>
        <w:t> </w:t>
      </w:r>
    </w:p>
    <w:p w14:paraId="0404E212">
      <w:pPr>
        <w:pStyle w:val="7"/>
        <w:spacing w:beforeAutospacing="0" w:afterAutospacing="0"/>
        <w:jc w:val="center"/>
        <w:rPr>
          <w:color w:val="auto"/>
          <w:highlight w:val="none"/>
        </w:rPr>
      </w:pPr>
      <w:r>
        <w:rPr>
          <w:color w:val="auto"/>
          <w:highlight w:val="none"/>
        </w:rPr>
        <w:t> </w:t>
      </w:r>
    </w:p>
    <w:p w14:paraId="2FDA1F1E">
      <w:pPr>
        <w:pStyle w:val="7"/>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14:paraId="17D22B7A">
      <w:pPr>
        <w:pStyle w:val="7"/>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14:paraId="2029DFF8">
      <w:pPr>
        <w:pStyle w:val="7"/>
        <w:spacing w:beforeAutospacing="0" w:afterAutospacing="0"/>
        <w:jc w:val="both"/>
        <w:rPr>
          <w:color w:val="auto"/>
          <w:highlight w:val="none"/>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 xml:space="preserve">（加盖CA电子公章）        </w:t>
      </w:r>
    </w:p>
    <w:p w14:paraId="4DDCED05">
      <w:pPr>
        <w:pStyle w:val="7"/>
        <w:spacing w:beforeAutospacing="0" w:afterAutospacing="0"/>
        <w:jc w:val="both"/>
        <w:rPr>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6AE95E96">
      <w:pPr>
        <w:pStyle w:val="7"/>
        <w:spacing w:beforeAutospacing="0" w:afterAutospacing="0" w:line="0" w:lineRule="atLeast"/>
        <w:jc w:val="center"/>
        <w:rPr>
          <w:color w:val="auto"/>
          <w:highlight w:val="none"/>
        </w:rPr>
      </w:pPr>
      <w:r>
        <w:rPr>
          <w:color w:val="auto"/>
          <w:highlight w:val="none"/>
        </w:rPr>
        <w:t> </w:t>
      </w:r>
    </w:p>
    <w:p w14:paraId="21F4D470">
      <w:pPr>
        <w:pStyle w:val="7"/>
        <w:spacing w:beforeAutospacing="0" w:afterAutospacing="0" w:line="0" w:lineRule="atLeast"/>
        <w:jc w:val="both"/>
        <w:rPr>
          <w:color w:val="auto"/>
          <w:highlight w:val="none"/>
        </w:rPr>
      </w:pPr>
      <w:r>
        <w:rPr>
          <w:color w:val="auto"/>
          <w:highlight w:val="none"/>
        </w:rPr>
        <w:t> </w:t>
      </w:r>
    </w:p>
    <w:p w14:paraId="6A226C2F">
      <w:pPr>
        <w:pStyle w:val="7"/>
        <w:spacing w:beforeAutospacing="0" w:afterAutospacing="0" w:line="0" w:lineRule="atLeast"/>
        <w:jc w:val="center"/>
        <w:rPr>
          <w:rFonts w:ascii="宋体" w:hAnsi="宋体" w:eastAsia="宋体" w:cs="宋体"/>
          <w:b/>
          <w:color w:val="auto"/>
          <w:sz w:val="36"/>
          <w:szCs w:val="36"/>
          <w:highlight w:val="none"/>
          <w:u w:val="single"/>
        </w:rPr>
      </w:pPr>
    </w:p>
    <w:p w14:paraId="3F272011">
      <w:pPr>
        <w:pStyle w:val="7"/>
        <w:spacing w:beforeAutospacing="0" w:afterAutospacing="0" w:line="0" w:lineRule="atLeast"/>
        <w:jc w:val="center"/>
        <w:rPr>
          <w:rFonts w:ascii="宋体" w:hAnsi="宋体" w:eastAsia="宋体" w:cs="宋体"/>
          <w:b/>
          <w:color w:val="auto"/>
          <w:sz w:val="36"/>
          <w:szCs w:val="36"/>
          <w:highlight w:val="none"/>
          <w:u w:val="single"/>
        </w:rPr>
      </w:pPr>
    </w:p>
    <w:p w14:paraId="2A37F054">
      <w:pPr>
        <w:pStyle w:val="7"/>
        <w:spacing w:beforeAutospacing="0" w:afterAutospacing="0" w:line="0" w:lineRule="atLeast"/>
        <w:jc w:val="center"/>
        <w:rPr>
          <w:rFonts w:ascii="宋体" w:hAnsi="宋体" w:eastAsia="宋体" w:cs="宋体"/>
          <w:b/>
          <w:color w:val="auto"/>
          <w:sz w:val="36"/>
          <w:szCs w:val="36"/>
          <w:highlight w:val="none"/>
          <w:u w:val="single"/>
        </w:rPr>
      </w:pPr>
    </w:p>
    <w:p w14:paraId="41235748">
      <w:pPr>
        <w:pStyle w:val="7"/>
        <w:spacing w:beforeAutospacing="0" w:afterAutospacing="0" w:line="0" w:lineRule="atLeast"/>
        <w:jc w:val="center"/>
        <w:rPr>
          <w:rFonts w:ascii="宋体" w:hAnsi="宋体" w:eastAsia="宋体" w:cs="宋体"/>
          <w:b/>
          <w:color w:val="auto"/>
          <w:sz w:val="36"/>
          <w:szCs w:val="36"/>
          <w:highlight w:val="none"/>
          <w:u w:val="single"/>
        </w:rPr>
      </w:pPr>
    </w:p>
    <w:p w14:paraId="4F66DC75">
      <w:pPr>
        <w:pStyle w:val="7"/>
        <w:spacing w:beforeAutospacing="0" w:afterAutospacing="0" w:line="0" w:lineRule="atLeast"/>
        <w:jc w:val="center"/>
        <w:rPr>
          <w:rFonts w:ascii="宋体" w:hAnsi="宋体" w:eastAsia="宋体" w:cs="宋体"/>
          <w:b/>
          <w:color w:val="auto"/>
          <w:sz w:val="36"/>
          <w:szCs w:val="36"/>
          <w:highlight w:val="none"/>
          <w:u w:val="single"/>
        </w:rPr>
      </w:pPr>
    </w:p>
    <w:p w14:paraId="24126D06">
      <w:pPr>
        <w:pStyle w:val="7"/>
        <w:spacing w:beforeAutospacing="0" w:afterAutospacing="0" w:line="0" w:lineRule="atLeast"/>
        <w:jc w:val="center"/>
        <w:rPr>
          <w:rFonts w:ascii="宋体" w:hAnsi="宋体" w:eastAsia="宋体" w:cs="宋体"/>
          <w:b/>
          <w:color w:val="auto"/>
          <w:sz w:val="36"/>
          <w:szCs w:val="36"/>
          <w:highlight w:val="none"/>
          <w:u w:val="single"/>
        </w:rPr>
      </w:pPr>
    </w:p>
    <w:p w14:paraId="66381AEA">
      <w:pPr>
        <w:pStyle w:val="7"/>
        <w:spacing w:beforeAutospacing="0" w:afterAutospacing="0" w:line="0" w:lineRule="atLeast"/>
        <w:jc w:val="center"/>
        <w:rPr>
          <w:rFonts w:ascii="宋体" w:hAnsi="宋体" w:eastAsia="宋体" w:cs="宋体"/>
          <w:b/>
          <w:color w:val="auto"/>
          <w:sz w:val="36"/>
          <w:szCs w:val="36"/>
          <w:highlight w:val="none"/>
          <w:u w:val="single"/>
        </w:rPr>
      </w:pPr>
    </w:p>
    <w:p w14:paraId="2B1C7B19">
      <w:pPr>
        <w:pStyle w:val="7"/>
        <w:spacing w:beforeAutospacing="0" w:afterAutospacing="0" w:line="0" w:lineRule="atLeast"/>
        <w:jc w:val="center"/>
        <w:rPr>
          <w:rFonts w:ascii="宋体" w:hAnsi="宋体" w:eastAsia="宋体" w:cs="宋体"/>
          <w:b/>
          <w:color w:val="auto"/>
          <w:sz w:val="36"/>
          <w:szCs w:val="36"/>
          <w:highlight w:val="none"/>
          <w:u w:val="single"/>
        </w:rPr>
      </w:pPr>
    </w:p>
    <w:p w14:paraId="3ED75718">
      <w:pPr>
        <w:pStyle w:val="7"/>
        <w:spacing w:beforeAutospacing="0" w:afterAutospacing="0" w:line="0" w:lineRule="atLeast"/>
        <w:jc w:val="center"/>
        <w:rPr>
          <w:rFonts w:ascii="宋体" w:hAnsi="宋体" w:eastAsia="宋体" w:cs="宋体"/>
          <w:b/>
          <w:color w:val="auto"/>
          <w:sz w:val="36"/>
          <w:szCs w:val="36"/>
          <w:highlight w:val="none"/>
          <w:u w:val="single"/>
        </w:rPr>
      </w:pPr>
    </w:p>
    <w:p w14:paraId="5CBBC622">
      <w:pPr>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br w:type="page"/>
      </w:r>
    </w:p>
    <w:p w14:paraId="0EA5482D">
      <w:pPr>
        <w:pStyle w:val="7"/>
        <w:spacing w:beforeAutospacing="0" w:afterAutospacing="0" w:line="0" w:lineRule="atLeast"/>
        <w:jc w:val="center"/>
        <w:rPr>
          <w:color w:val="auto"/>
          <w:highlight w:val="none"/>
        </w:rPr>
      </w:pPr>
      <w:r>
        <w:rPr>
          <w:rFonts w:hint="eastAsia" w:ascii="宋体" w:hAnsi="宋体" w:eastAsia="宋体" w:cs="宋体"/>
          <w:b/>
          <w:color w:val="auto"/>
          <w:sz w:val="32"/>
          <w:szCs w:val="32"/>
          <w:highlight w:val="none"/>
        </w:rPr>
        <w:t>投标文件目录</w:t>
      </w:r>
    </w:p>
    <w:p w14:paraId="690CB4F6">
      <w:pPr>
        <w:pStyle w:val="7"/>
        <w:spacing w:beforeAutospacing="0" w:afterAutospacing="0" w:line="0" w:lineRule="atLeast"/>
        <w:jc w:val="center"/>
        <w:rPr>
          <w:color w:val="auto"/>
          <w:highlight w:val="none"/>
        </w:rPr>
      </w:pPr>
      <w:r>
        <w:rPr>
          <w:color w:val="auto"/>
          <w:highlight w:val="none"/>
        </w:rPr>
        <w:t> </w:t>
      </w:r>
    </w:p>
    <w:p w14:paraId="4EE79245">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一、法人或者其他组织的营业执照等证明文件，自然人的身份证明</w:t>
      </w:r>
    </w:p>
    <w:p w14:paraId="774A5726">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宋体" w:hAnsi="宋体" w:eastAsia="宋体" w:cs="宋体"/>
          <w:i w:val="0"/>
          <w:iCs/>
          <w:color w:val="auto"/>
          <w:kern w:val="0"/>
          <w:sz w:val="21"/>
          <w:szCs w:val="21"/>
          <w:highlight w:val="none"/>
          <w:u w:val="none"/>
          <w:lang w:val="en-US" w:eastAsia="zh-CN" w:bidi="ar-SA"/>
        </w:rPr>
      </w:pPr>
      <w:r>
        <w:rPr>
          <w:rFonts w:hint="eastAsia" w:ascii="宋体" w:hAnsi="宋体" w:eastAsia="宋体" w:cs="宋体"/>
          <w:i w:val="0"/>
          <w:iCs/>
          <w:color w:val="auto"/>
          <w:kern w:val="0"/>
          <w:sz w:val="21"/>
          <w:szCs w:val="21"/>
          <w:highlight w:val="none"/>
          <w:u w:val="none"/>
          <w:lang w:val="en-US" w:eastAsia="zh-CN" w:bidi="ar-SA"/>
        </w:rPr>
        <w:t>二、上一年度的财务状况报表</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至少提供资产负债表、利润表，投标人成立不满一年无需提供</w:t>
      </w:r>
      <w:r>
        <w:rPr>
          <w:rFonts w:hint="eastAsia" w:ascii="宋体" w:hAnsi="宋体" w:eastAsia="宋体" w:cs="宋体"/>
          <w:color w:val="auto"/>
          <w:sz w:val="21"/>
          <w:szCs w:val="21"/>
          <w:highlight w:val="none"/>
        </w:rPr>
        <w:t>）</w:t>
      </w:r>
    </w:p>
    <w:p w14:paraId="7D497B03">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lang w:val="en-US" w:eastAsia="zh-CN"/>
        </w:rPr>
        <w:t>三</w:t>
      </w:r>
      <w:r>
        <w:rPr>
          <w:rFonts w:hint="eastAsia" w:ascii="宋体" w:hAnsi="宋体" w:eastAsia="宋体" w:cs="宋体"/>
          <w:i w:val="0"/>
          <w:iCs/>
          <w:color w:val="auto"/>
          <w:sz w:val="21"/>
          <w:szCs w:val="21"/>
          <w:highlight w:val="none"/>
          <w:u w:val="none"/>
        </w:rPr>
        <w:t>、具备履行合同所必需的设备和专业技术能力的书面声明</w:t>
      </w:r>
    </w:p>
    <w:p w14:paraId="1B7375BF">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lang w:val="en-US" w:eastAsia="zh-CN"/>
        </w:rPr>
        <w:t>四</w:t>
      </w:r>
      <w:r>
        <w:rPr>
          <w:rFonts w:hint="eastAsia" w:ascii="宋体" w:hAnsi="宋体" w:eastAsia="宋体" w:cs="宋体"/>
          <w:i w:val="0"/>
          <w:iCs/>
          <w:color w:val="auto"/>
          <w:sz w:val="21"/>
          <w:szCs w:val="21"/>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497BD354">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五、参加政府采购活动前3年内在经营活动中没有重大违法记录的书面声明</w:t>
      </w:r>
    </w:p>
    <w:p w14:paraId="2458C11A">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六、</w:t>
      </w:r>
      <w:r>
        <w:rPr>
          <w:rFonts w:hint="eastAsia" w:ascii="宋体" w:hAnsi="宋体" w:eastAsia="宋体" w:cs="宋体"/>
          <w:color w:val="auto"/>
          <w:sz w:val="21"/>
          <w:szCs w:val="21"/>
          <w:highlight w:val="none"/>
        </w:rPr>
        <w:t>单位负责人为同一人或者存在直接控股、管理关系的不同供应商，不得参加同一合同项下的政府采购活动。</w:t>
      </w:r>
      <w:r>
        <w:rPr>
          <w:rFonts w:hint="eastAsia" w:ascii="宋体" w:hAnsi="宋体" w:eastAsia="宋体" w:cs="宋体"/>
          <w:color w:val="auto"/>
          <w:sz w:val="21"/>
          <w:szCs w:val="21"/>
          <w:highlight w:val="none"/>
          <w:lang w:eastAsia="zh-CN"/>
        </w:rPr>
        <w:t>（自行提供，格式自拟）</w:t>
      </w:r>
    </w:p>
    <w:p w14:paraId="7904EDC9">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lang w:eastAsia="zh-CN"/>
        </w:rPr>
        <w:t>七、</w:t>
      </w:r>
      <w:r>
        <w:rPr>
          <w:rFonts w:hint="eastAsia" w:ascii="宋体" w:hAnsi="宋体" w:eastAsia="宋体" w:cs="宋体"/>
          <w:i w:val="0"/>
          <w:iCs/>
          <w:color w:val="auto"/>
          <w:sz w:val="21"/>
          <w:szCs w:val="21"/>
          <w:highlight w:val="none"/>
          <w:u w:val="none"/>
        </w:rPr>
        <w:t>特定资格要求的证明文件（如果本项目设置特定资格要求，则需要提供）</w:t>
      </w:r>
    </w:p>
    <w:p w14:paraId="060F304B">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lang w:eastAsia="zh-CN"/>
        </w:rPr>
        <w:t>八</w:t>
      </w:r>
      <w:r>
        <w:rPr>
          <w:rFonts w:hint="eastAsia" w:ascii="宋体" w:hAnsi="宋体" w:eastAsia="宋体" w:cs="宋体"/>
          <w:i w:val="0"/>
          <w:iCs/>
          <w:color w:val="auto"/>
          <w:sz w:val="21"/>
          <w:szCs w:val="21"/>
          <w:highlight w:val="none"/>
          <w:u w:val="none"/>
        </w:rPr>
        <w:t>、法人授权书</w:t>
      </w:r>
    </w:p>
    <w:p w14:paraId="38795E49">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lang w:eastAsia="zh-CN"/>
        </w:rPr>
        <w:t>九</w:t>
      </w:r>
      <w:r>
        <w:rPr>
          <w:rFonts w:hint="eastAsia" w:ascii="宋体" w:hAnsi="宋体" w:eastAsia="宋体" w:cs="宋体"/>
          <w:i w:val="0"/>
          <w:iCs/>
          <w:color w:val="auto"/>
          <w:sz w:val="21"/>
          <w:szCs w:val="21"/>
          <w:highlight w:val="none"/>
          <w:u w:val="none"/>
        </w:rPr>
        <w:t>、投标函</w:t>
      </w:r>
    </w:p>
    <w:p w14:paraId="05C95EC5">
      <w:pPr>
        <w:pStyle w:val="7"/>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lang w:eastAsia="zh-CN"/>
        </w:rPr>
        <w:t>十</w:t>
      </w:r>
      <w:r>
        <w:rPr>
          <w:rFonts w:hint="eastAsia" w:ascii="宋体" w:hAnsi="宋体" w:eastAsia="宋体" w:cs="宋体"/>
          <w:i w:val="0"/>
          <w:iCs/>
          <w:color w:val="auto"/>
          <w:sz w:val="21"/>
          <w:szCs w:val="21"/>
          <w:highlight w:val="none"/>
          <w:u w:val="none"/>
        </w:rPr>
        <w:t>、</w:t>
      </w:r>
      <w:r>
        <w:rPr>
          <w:rFonts w:hint="eastAsia" w:ascii="宋体" w:hAnsi="宋体" w:eastAsia="宋体" w:cs="宋体"/>
          <w:i w:val="0"/>
          <w:iCs/>
          <w:color w:val="auto"/>
          <w:sz w:val="21"/>
          <w:szCs w:val="21"/>
          <w:highlight w:val="none"/>
          <w:u w:val="none"/>
          <w:lang w:val="en-US" w:eastAsia="zh-CN"/>
        </w:rPr>
        <w:t>中小</w:t>
      </w:r>
      <w:r>
        <w:rPr>
          <w:rFonts w:hint="eastAsia" w:ascii="宋体" w:hAnsi="宋体" w:eastAsia="宋体" w:cs="宋体"/>
          <w:i w:val="0"/>
          <w:iCs/>
          <w:color w:val="auto"/>
          <w:sz w:val="21"/>
          <w:szCs w:val="21"/>
          <w:highlight w:val="none"/>
          <w:u w:val="none"/>
        </w:rPr>
        <w:t>企业声明函</w:t>
      </w:r>
    </w:p>
    <w:p w14:paraId="1EE24567">
      <w:pPr>
        <w:pStyle w:val="7"/>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十</w:t>
      </w:r>
      <w:r>
        <w:rPr>
          <w:rFonts w:hint="eastAsia" w:ascii="宋体" w:hAnsi="宋体" w:eastAsia="宋体" w:cs="宋体"/>
          <w:i w:val="0"/>
          <w:iCs/>
          <w:color w:val="auto"/>
          <w:sz w:val="21"/>
          <w:szCs w:val="21"/>
          <w:highlight w:val="none"/>
          <w:u w:val="none"/>
          <w:lang w:eastAsia="zh-CN"/>
        </w:rPr>
        <w:t>一</w:t>
      </w:r>
      <w:r>
        <w:rPr>
          <w:rFonts w:hint="eastAsia" w:ascii="宋体" w:hAnsi="宋体" w:eastAsia="宋体" w:cs="宋体"/>
          <w:i w:val="0"/>
          <w:iCs/>
          <w:color w:val="auto"/>
          <w:sz w:val="21"/>
          <w:szCs w:val="21"/>
          <w:highlight w:val="none"/>
          <w:u w:val="none"/>
        </w:rPr>
        <w:t>、残疾人福利性单位声明函</w:t>
      </w:r>
    </w:p>
    <w:p w14:paraId="449FCCE8">
      <w:pPr>
        <w:pStyle w:val="7"/>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lang w:val="en-US" w:eastAsia="zh-CN"/>
        </w:rPr>
        <w:t>十二、</w:t>
      </w:r>
      <w:r>
        <w:rPr>
          <w:rFonts w:hint="eastAsia" w:ascii="宋体" w:hAnsi="宋体" w:eastAsia="宋体" w:cs="宋体"/>
          <w:i w:val="0"/>
          <w:iCs/>
          <w:color w:val="auto"/>
          <w:sz w:val="21"/>
          <w:szCs w:val="21"/>
          <w:highlight w:val="none"/>
          <w:u w:val="none"/>
        </w:rPr>
        <w:t>投标分项报价表</w:t>
      </w:r>
    </w:p>
    <w:p w14:paraId="5D5B7834">
      <w:pPr>
        <w:pStyle w:val="7"/>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十</w:t>
      </w:r>
      <w:r>
        <w:rPr>
          <w:rFonts w:hint="eastAsia" w:ascii="宋体" w:hAnsi="宋体" w:eastAsia="宋体" w:cs="宋体"/>
          <w:i w:val="0"/>
          <w:iCs/>
          <w:color w:val="auto"/>
          <w:sz w:val="21"/>
          <w:szCs w:val="21"/>
          <w:highlight w:val="none"/>
          <w:u w:val="none"/>
          <w:lang w:eastAsia="zh-CN"/>
        </w:rPr>
        <w:t>三</w:t>
      </w:r>
      <w:r>
        <w:rPr>
          <w:rFonts w:hint="eastAsia" w:ascii="宋体" w:hAnsi="宋体" w:eastAsia="宋体" w:cs="宋体"/>
          <w:i w:val="0"/>
          <w:iCs/>
          <w:color w:val="auto"/>
          <w:sz w:val="21"/>
          <w:szCs w:val="21"/>
          <w:highlight w:val="none"/>
          <w:u w:val="none"/>
        </w:rPr>
        <w:t>、技术要求响应及偏离表</w:t>
      </w:r>
    </w:p>
    <w:p w14:paraId="0F5F0602">
      <w:pPr>
        <w:pStyle w:val="7"/>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十</w:t>
      </w:r>
      <w:r>
        <w:rPr>
          <w:rFonts w:hint="eastAsia" w:ascii="宋体" w:hAnsi="宋体" w:eastAsia="宋体" w:cs="宋体"/>
          <w:i w:val="0"/>
          <w:iCs/>
          <w:color w:val="auto"/>
          <w:sz w:val="21"/>
          <w:szCs w:val="21"/>
          <w:highlight w:val="none"/>
          <w:u w:val="none"/>
          <w:lang w:val="en-US" w:eastAsia="zh-CN"/>
        </w:rPr>
        <w:t>四</w:t>
      </w:r>
      <w:r>
        <w:rPr>
          <w:rFonts w:hint="eastAsia" w:ascii="宋体" w:hAnsi="宋体" w:eastAsia="宋体" w:cs="宋体"/>
          <w:i w:val="0"/>
          <w:iCs/>
          <w:color w:val="auto"/>
          <w:sz w:val="21"/>
          <w:szCs w:val="21"/>
          <w:highlight w:val="none"/>
          <w:u w:val="none"/>
        </w:rPr>
        <w:t>、商务要求响应及偏离表</w:t>
      </w:r>
    </w:p>
    <w:p w14:paraId="60AD9B33">
      <w:pPr>
        <w:pStyle w:val="7"/>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十</w:t>
      </w:r>
      <w:r>
        <w:rPr>
          <w:rFonts w:hint="eastAsia" w:ascii="宋体" w:hAnsi="宋体" w:eastAsia="宋体" w:cs="宋体"/>
          <w:i w:val="0"/>
          <w:iCs/>
          <w:color w:val="auto"/>
          <w:sz w:val="21"/>
          <w:szCs w:val="21"/>
          <w:highlight w:val="none"/>
          <w:u w:val="none"/>
          <w:lang w:val="en-US" w:eastAsia="zh-CN"/>
        </w:rPr>
        <w:t>五</w:t>
      </w:r>
      <w:r>
        <w:rPr>
          <w:rFonts w:hint="eastAsia" w:ascii="宋体" w:hAnsi="宋体" w:eastAsia="宋体" w:cs="宋体"/>
          <w:i w:val="0"/>
          <w:iCs/>
          <w:color w:val="auto"/>
          <w:sz w:val="21"/>
          <w:szCs w:val="21"/>
          <w:highlight w:val="none"/>
          <w:u w:val="none"/>
        </w:rPr>
        <w:t>、开标一览表</w:t>
      </w:r>
    </w:p>
    <w:p w14:paraId="58388492">
      <w:pPr>
        <w:pStyle w:val="7"/>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i w:val="0"/>
          <w:iCs/>
          <w:color w:val="auto"/>
          <w:kern w:val="0"/>
          <w:sz w:val="21"/>
          <w:szCs w:val="21"/>
          <w:highlight w:val="none"/>
          <w:u w:val="none"/>
        </w:rPr>
      </w:pPr>
      <w:r>
        <w:rPr>
          <w:rFonts w:hint="eastAsia" w:ascii="宋体" w:hAnsi="宋体" w:eastAsia="宋体" w:cs="宋体"/>
          <w:i w:val="0"/>
          <w:iCs/>
          <w:color w:val="auto"/>
          <w:kern w:val="0"/>
          <w:sz w:val="21"/>
          <w:szCs w:val="21"/>
          <w:highlight w:val="none"/>
          <w:u w:val="none"/>
        </w:rPr>
        <w:t>十</w:t>
      </w:r>
      <w:r>
        <w:rPr>
          <w:rFonts w:hint="eastAsia" w:ascii="宋体" w:hAnsi="宋体" w:eastAsia="宋体" w:cs="宋体"/>
          <w:i w:val="0"/>
          <w:iCs/>
          <w:color w:val="auto"/>
          <w:kern w:val="0"/>
          <w:sz w:val="21"/>
          <w:szCs w:val="21"/>
          <w:highlight w:val="none"/>
          <w:u w:val="none"/>
          <w:lang w:val="en-US" w:eastAsia="zh-CN"/>
        </w:rPr>
        <w:t>六</w:t>
      </w:r>
      <w:r>
        <w:rPr>
          <w:rFonts w:hint="eastAsia" w:ascii="宋体" w:hAnsi="宋体" w:eastAsia="宋体" w:cs="宋体"/>
          <w:i w:val="0"/>
          <w:iCs/>
          <w:color w:val="auto"/>
          <w:kern w:val="0"/>
          <w:sz w:val="21"/>
          <w:szCs w:val="21"/>
          <w:highlight w:val="none"/>
          <w:u w:val="none"/>
        </w:rPr>
        <w:t>、技术方案、服务承诺、培训承诺等</w:t>
      </w:r>
    </w:p>
    <w:p w14:paraId="3791167D">
      <w:pPr>
        <w:pStyle w:val="7"/>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十</w:t>
      </w:r>
      <w:r>
        <w:rPr>
          <w:rFonts w:hint="eastAsia" w:ascii="宋体" w:hAnsi="宋体" w:eastAsia="宋体" w:cs="宋体"/>
          <w:i w:val="0"/>
          <w:iCs/>
          <w:color w:val="auto"/>
          <w:sz w:val="21"/>
          <w:szCs w:val="21"/>
          <w:highlight w:val="none"/>
          <w:u w:val="none"/>
          <w:lang w:val="en-US" w:eastAsia="zh-CN"/>
        </w:rPr>
        <w:t>七</w:t>
      </w:r>
      <w:r>
        <w:rPr>
          <w:rFonts w:hint="eastAsia" w:ascii="宋体" w:hAnsi="宋体" w:eastAsia="宋体" w:cs="宋体"/>
          <w:i w:val="0"/>
          <w:iCs/>
          <w:color w:val="auto"/>
          <w:sz w:val="21"/>
          <w:szCs w:val="21"/>
          <w:highlight w:val="none"/>
          <w:u w:val="none"/>
        </w:rPr>
        <w:t>、盐城市政府采购事前信用承诺书</w:t>
      </w:r>
    </w:p>
    <w:p w14:paraId="7FF984ED">
      <w:pPr>
        <w:pStyle w:val="7"/>
        <w:spacing w:beforeAutospacing="0" w:afterAutospacing="0" w:line="0" w:lineRule="atLeast"/>
        <w:ind w:firstLine="480"/>
        <w:jc w:val="both"/>
        <w:rPr>
          <w:rFonts w:ascii="宋体" w:hAnsi="宋体" w:eastAsia="宋体" w:cs="宋体"/>
          <w:color w:val="auto"/>
          <w:highlight w:val="none"/>
        </w:rPr>
      </w:pPr>
    </w:p>
    <w:p w14:paraId="6B06C8BA">
      <w:pPr>
        <w:pStyle w:val="7"/>
        <w:spacing w:beforeAutospacing="0" w:afterAutospacing="0" w:line="0" w:lineRule="atLeast"/>
        <w:ind w:firstLine="480"/>
        <w:jc w:val="both"/>
        <w:rPr>
          <w:rFonts w:ascii="宋体" w:hAnsi="宋体" w:eastAsia="宋体" w:cs="宋体"/>
          <w:color w:val="auto"/>
          <w:highlight w:val="none"/>
        </w:rPr>
      </w:pPr>
    </w:p>
    <w:p w14:paraId="69DEF9CE">
      <w:pPr>
        <w:pStyle w:val="7"/>
        <w:spacing w:beforeAutospacing="0" w:afterAutospacing="0" w:line="0" w:lineRule="atLeast"/>
        <w:ind w:firstLine="480"/>
        <w:jc w:val="both"/>
        <w:rPr>
          <w:color w:val="auto"/>
          <w:highlight w:val="none"/>
        </w:rPr>
      </w:pPr>
      <w:r>
        <w:rPr>
          <w:color w:val="auto"/>
          <w:highlight w:val="none"/>
        </w:rPr>
        <w:t> </w:t>
      </w:r>
    </w:p>
    <w:p w14:paraId="44B63955">
      <w:pPr>
        <w:pStyle w:val="7"/>
        <w:spacing w:beforeAutospacing="0" w:afterAutospacing="0" w:line="0" w:lineRule="atLeast"/>
        <w:ind w:firstLine="480"/>
        <w:jc w:val="both"/>
        <w:rPr>
          <w:color w:val="auto"/>
          <w:highlight w:val="none"/>
        </w:rPr>
      </w:pPr>
      <w:r>
        <w:rPr>
          <w:color w:val="auto"/>
          <w:highlight w:val="none"/>
        </w:rPr>
        <w:t> </w:t>
      </w:r>
    </w:p>
    <w:p w14:paraId="208458AE">
      <w:pPr>
        <w:pStyle w:val="7"/>
        <w:spacing w:beforeAutospacing="0" w:afterAutospacing="0" w:line="0" w:lineRule="atLeast"/>
        <w:ind w:firstLine="480"/>
        <w:jc w:val="both"/>
        <w:rPr>
          <w:color w:val="auto"/>
          <w:highlight w:val="none"/>
        </w:rPr>
      </w:pPr>
      <w:r>
        <w:rPr>
          <w:color w:val="auto"/>
          <w:highlight w:val="none"/>
        </w:rPr>
        <w:t> </w:t>
      </w:r>
    </w:p>
    <w:p w14:paraId="32F32D06">
      <w:pPr>
        <w:pStyle w:val="7"/>
        <w:spacing w:beforeAutospacing="0" w:afterAutospacing="0" w:line="0" w:lineRule="atLeast"/>
        <w:ind w:firstLine="480"/>
        <w:jc w:val="both"/>
        <w:rPr>
          <w:color w:val="auto"/>
          <w:highlight w:val="none"/>
        </w:rPr>
      </w:pPr>
      <w:r>
        <w:rPr>
          <w:color w:val="auto"/>
          <w:highlight w:val="none"/>
        </w:rPr>
        <w:t> </w:t>
      </w:r>
    </w:p>
    <w:p w14:paraId="5560867C">
      <w:pPr>
        <w:pStyle w:val="7"/>
        <w:spacing w:beforeAutospacing="0" w:afterAutospacing="0" w:line="0" w:lineRule="atLeast"/>
        <w:ind w:firstLine="480"/>
        <w:jc w:val="both"/>
        <w:rPr>
          <w:color w:val="auto"/>
          <w:highlight w:val="none"/>
        </w:rPr>
      </w:pPr>
    </w:p>
    <w:p w14:paraId="09C032D4">
      <w:pPr>
        <w:pStyle w:val="7"/>
        <w:spacing w:beforeAutospacing="0" w:afterAutospacing="0" w:line="0" w:lineRule="atLeast"/>
        <w:ind w:firstLine="480"/>
        <w:jc w:val="both"/>
        <w:rPr>
          <w:color w:val="auto"/>
          <w:highlight w:val="none"/>
        </w:rPr>
      </w:pPr>
    </w:p>
    <w:p w14:paraId="363E47D6">
      <w:pPr>
        <w:pStyle w:val="7"/>
        <w:spacing w:beforeAutospacing="0" w:afterAutospacing="0" w:line="0" w:lineRule="atLeast"/>
        <w:ind w:firstLine="480"/>
        <w:jc w:val="both"/>
        <w:rPr>
          <w:color w:val="auto"/>
          <w:highlight w:val="none"/>
        </w:rPr>
      </w:pPr>
    </w:p>
    <w:p w14:paraId="05715001">
      <w:pPr>
        <w:pStyle w:val="7"/>
        <w:spacing w:beforeAutospacing="0" w:afterAutospacing="0" w:line="0" w:lineRule="atLeast"/>
        <w:ind w:firstLine="480"/>
        <w:jc w:val="both"/>
        <w:rPr>
          <w:color w:val="auto"/>
          <w:highlight w:val="none"/>
        </w:rPr>
      </w:pPr>
    </w:p>
    <w:p w14:paraId="1C780372">
      <w:pPr>
        <w:pStyle w:val="7"/>
        <w:spacing w:beforeAutospacing="0" w:afterAutospacing="0" w:line="0" w:lineRule="atLeast"/>
        <w:ind w:firstLine="480"/>
        <w:jc w:val="both"/>
        <w:rPr>
          <w:color w:val="auto"/>
          <w:highlight w:val="none"/>
        </w:rPr>
      </w:pPr>
    </w:p>
    <w:p w14:paraId="3932825F">
      <w:pPr>
        <w:pStyle w:val="7"/>
        <w:spacing w:beforeAutospacing="0" w:afterAutospacing="0" w:line="0" w:lineRule="atLeast"/>
        <w:ind w:firstLine="480"/>
        <w:jc w:val="both"/>
        <w:rPr>
          <w:color w:val="auto"/>
          <w:highlight w:val="none"/>
        </w:rPr>
      </w:pPr>
    </w:p>
    <w:p w14:paraId="7C0C667D">
      <w:pPr>
        <w:pStyle w:val="7"/>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06006830">
      <w:pPr>
        <w:pStyle w:val="7"/>
        <w:spacing w:beforeAutospacing="0" w:afterAutospacing="0" w:line="0" w:lineRule="atLeast"/>
        <w:ind w:firstLine="480"/>
        <w:jc w:val="both"/>
        <w:rPr>
          <w:color w:val="auto"/>
          <w:highlight w:val="none"/>
        </w:rPr>
      </w:pPr>
      <w:r>
        <w:rPr>
          <w:color w:val="auto"/>
          <w:highlight w:val="none"/>
        </w:rPr>
        <w:t> </w:t>
      </w:r>
    </w:p>
    <w:p w14:paraId="316ECADE">
      <w:pPr>
        <w:pStyle w:val="7"/>
        <w:spacing w:beforeAutospacing="0" w:afterAutospacing="0"/>
        <w:jc w:val="both"/>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二、上一年度的财务状况报</w:t>
      </w:r>
      <w:r>
        <w:rPr>
          <w:rFonts w:hint="eastAsia" w:ascii="黑体" w:hAnsi="宋体" w:eastAsia="黑体" w:cs="黑体"/>
          <w:i/>
          <w:color w:val="auto"/>
          <w:sz w:val="32"/>
          <w:szCs w:val="32"/>
          <w:highlight w:val="none"/>
          <w:u w:val="single"/>
          <w:lang w:val="en-US" w:eastAsia="zh-CN"/>
        </w:rPr>
        <w:t>表</w:t>
      </w:r>
    </w:p>
    <w:p w14:paraId="38115F52">
      <w:pPr>
        <w:tabs>
          <w:tab w:val="left" w:pos="1331"/>
        </w:tabs>
        <w:bidi w:val="0"/>
        <w:jc w:val="left"/>
        <w:rPr>
          <w:color w:val="auto"/>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至少提供资产负债表、利润表</w:t>
      </w:r>
      <w:r>
        <w:rPr>
          <w:rFonts w:hint="eastAsia" w:ascii="宋体" w:hAnsi="宋体" w:eastAsia="宋体" w:cs="宋体"/>
          <w:color w:val="auto"/>
          <w:sz w:val="21"/>
          <w:szCs w:val="21"/>
          <w:highlight w:val="none"/>
        </w:rPr>
        <w:t>，成立不满一年无需提供）</w:t>
      </w:r>
    </w:p>
    <w:p w14:paraId="1C8C26EA">
      <w:pPr>
        <w:pStyle w:val="7"/>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三</w:t>
      </w:r>
      <w:r>
        <w:rPr>
          <w:rFonts w:hint="eastAsia" w:ascii="黑体" w:hAnsi="宋体" w:eastAsia="黑体" w:cs="黑体"/>
          <w:i/>
          <w:color w:val="auto"/>
          <w:sz w:val="32"/>
          <w:szCs w:val="32"/>
          <w:highlight w:val="none"/>
          <w:u w:val="single"/>
        </w:rPr>
        <w:t>、具备履行合同所必需的设备和专业技术能力的书面声明</w:t>
      </w:r>
    </w:p>
    <w:p w14:paraId="254B1F41">
      <w:pPr>
        <w:tabs>
          <w:tab w:val="left" w:pos="1331"/>
        </w:tabs>
        <w:bidi w:val="0"/>
        <w:ind w:left="420" w:leftChars="20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我单位郑重声明：我单位具备履行本项采购合同所必需的设备和专业技术能力，为履行本项采购合同我公司具备如下主要设备和主要专业技术能力：</w:t>
      </w:r>
    </w:p>
    <w:p w14:paraId="09D8CD0C">
      <w:pPr>
        <w:tabs>
          <w:tab w:val="left" w:pos="1331"/>
        </w:tabs>
        <w:bidi w:val="0"/>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0D1D5F5">
      <w:pPr>
        <w:tabs>
          <w:tab w:val="left" w:pos="1331"/>
        </w:tabs>
        <w:bidi w:val="0"/>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主要专业技术能力有：</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 xml:space="preserve"> 。</w:t>
      </w:r>
    </w:p>
    <w:p w14:paraId="78D9FA40">
      <w:pPr>
        <w:pStyle w:val="7"/>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四</w:t>
      </w:r>
      <w:r>
        <w:rPr>
          <w:rFonts w:hint="eastAsia" w:ascii="黑体" w:hAnsi="宋体" w:eastAsia="黑体" w:cs="黑体"/>
          <w:i/>
          <w:color w:val="auto"/>
          <w:sz w:val="32"/>
          <w:szCs w:val="32"/>
          <w:highlight w:val="none"/>
          <w:u w:val="single"/>
        </w:rPr>
        <w:t>、依法缴纳税收和社会保障资金的相关材料</w:t>
      </w:r>
    </w:p>
    <w:p w14:paraId="36A6E642">
      <w:pPr>
        <w:tabs>
          <w:tab w:val="left" w:pos="1331"/>
        </w:tabs>
        <w:bidi w:val="0"/>
        <w:ind w:left="420" w:leftChars="200" w:firstLine="0" w:firstLineChars="0"/>
        <w:jc w:val="left"/>
        <w:rPr>
          <w:rFonts w:hint="eastAsia" w:ascii="宋体" w:hAnsi="宋体" w:eastAsia="宋体" w:cs="宋体"/>
          <w:color w:val="auto"/>
          <w:sz w:val="21"/>
          <w:szCs w:val="21"/>
          <w:highlight w:val="none"/>
        </w:rPr>
      </w:pPr>
      <w:bookmarkStart w:id="186" w:name="_Toc120614284"/>
      <w:r>
        <w:rPr>
          <w:rFonts w:hint="eastAsia" w:ascii="宋体" w:hAnsi="宋体" w:eastAsia="宋体" w:cs="宋体"/>
          <w:color w:val="auto"/>
          <w:sz w:val="21"/>
          <w:szCs w:val="21"/>
          <w:highlight w:val="none"/>
        </w:rPr>
        <w:t>提供提交投标文件截止时间前一年内至少一个月依法缴纳税收及缴纳社会保障资金的证明材料。投标人依法享受缓缴、免缴税收、社会保障资金的提供证明材料。</w:t>
      </w:r>
      <w:bookmarkEnd w:id="186"/>
    </w:p>
    <w:p w14:paraId="62A90E28">
      <w:pPr>
        <w:pStyle w:val="7"/>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1DEDE278">
      <w:pPr>
        <w:pStyle w:val="7"/>
        <w:spacing w:beforeAutospacing="0" w:afterAutospacing="0" w:line="0" w:lineRule="atLeast"/>
        <w:jc w:val="both"/>
        <w:rPr>
          <w:color w:val="auto"/>
          <w:highlight w:val="none"/>
        </w:rPr>
      </w:pPr>
      <w:r>
        <w:rPr>
          <w:rFonts w:hint="eastAsia" w:ascii="宋体" w:hAnsi="宋体" w:eastAsia="宋体" w:cs="宋体"/>
          <w:b/>
          <w:color w:val="auto"/>
          <w:sz w:val="44"/>
          <w:szCs w:val="44"/>
          <w:highlight w:val="none"/>
        </w:rPr>
        <w:t>       声  明</w:t>
      </w:r>
    </w:p>
    <w:p w14:paraId="7B1E9CB9">
      <w:pPr>
        <w:pStyle w:val="7"/>
        <w:spacing w:beforeAutospacing="0" w:afterAutospacing="0" w:line="0" w:lineRule="atLeast"/>
        <w:ind w:firstLine="420" w:firstLineChars="200"/>
        <w:jc w:val="both"/>
        <w:rPr>
          <w:color w:val="auto"/>
          <w:highlight w:val="none"/>
        </w:rPr>
      </w:pPr>
      <w:r>
        <w:rPr>
          <w:rFonts w:hint="eastAsia" w:ascii="宋体" w:hAnsi="宋体" w:eastAsia="宋体" w:cs="宋体"/>
          <w:color w:val="auto"/>
          <w:kern w:val="2"/>
          <w:sz w:val="21"/>
          <w:szCs w:val="21"/>
          <w:highlight w:val="none"/>
          <w:lang w:val="en-US" w:eastAsia="zh-CN" w:bidi="ar-SA"/>
        </w:rPr>
        <w:t>我单位郑重声明：参加本次政府采购活动前 3 年内，我单位在经营活动中没有因违法经营受到刑事处罚或者责令停产停业、吊销许可证或者执照、较大数额罚款等行政处罚。</w:t>
      </w:r>
    </w:p>
    <w:p w14:paraId="5D5B6483">
      <w:pPr>
        <w:pStyle w:val="7"/>
        <w:spacing w:beforeAutospacing="0" w:afterAutospacing="0"/>
        <w:jc w:val="both"/>
        <w:rPr>
          <w:color w:val="auto"/>
          <w:highlight w:val="none"/>
        </w:rPr>
      </w:pPr>
      <w:r>
        <w:rPr>
          <w:color w:val="auto"/>
          <w:highlight w:val="none"/>
        </w:rPr>
        <w:t> </w:t>
      </w:r>
    </w:p>
    <w:p w14:paraId="20E37FFB">
      <w:pPr>
        <w:pStyle w:val="7"/>
        <w:spacing w:beforeAutospacing="0" w:afterAutospacing="0" w:line="0" w:lineRule="atLeast"/>
        <w:jc w:val="both"/>
        <w:rPr>
          <w:color w:val="auto"/>
          <w:highlight w:val="none"/>
        </w:rPr>
      </w:pPr>
    </w:p>
    <w:p w14:paraId="4F70D222">
      <w:pPr>
        <w:pStyle w:val="7"/>
        <w:spacing w:beforeAutospacing="0" w:afterAutospacing="0" w:line="0" w:lineRule="atLeast"/>
        <w:jc w:val="both"/>
        <w:rPr>
          <w:color w:val="auto"/>
          <w:highlight w:val="none"/>
        </w:rPr>
      </w:pPr>
      <w:r>
        <w:rPr>
          <w:color w:val="auto"/>
          <w:highlight w:val="none"/>
        </w:rPr>
        <w:t> </w:t>
      </w:r>
    </w:p>
    <w:p w14:paraId="47D32FB4">
      <w:pPr>
        <w:pStyle w:val="7"/>
        <w:numPr>
          <w:ilvl w:val="0"/>
          <w:numId w:val="0"/>
        </w:numPr>
        <w:spacing w:beforeAutospacing="0" w:afterAutospacing="0"/>
        <w:jc w:val="both"/>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lang w:eastAsia="zh-CN"/>
        </w:rPr>
        <w:t>六、</w:t>
      </w:r>
      <w:r>
        <w:rPr>
          <w:rFonts w:hint="eastAsia" w:ascii="黑体" w:hAnsi="宋体" w:eastAsia="黑体" w:cs="黑体"/>
          <w:i/>
          <w:color w:val="auto"/>
          <w:sz w:val="32"/>
          <w:szCs w:val="32"/>
          <w:highlight w:val="none"/>
          <w:u w:val="single"/>
        </w:rPr>
        <w:t>单位负责人为同一人或者存在直接控股、管理关系的不同供应商，不得参加同一合同项下的政府采购活动。</w:t>
      </w:r>
    </w:p>
    <w:p w14:paraId="68929729">
      <w:pPr>
        <w:tabs>
          <w:tab w:val="left" w:pos="1331"/>
        </w:tabs>
        <w:bidi w:val="0"/>
        <w:ind w:left="420" w:leftChars="20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自行提供，格式自拟</w:t>
      </w:r>
    </w:p>
    <w:p w14:paraId="357A0023">
      <w:pPr>
        <w:pStyle w:val="7"/>
        <w:spacing w:beforeAutospacing="0" w:afterAutospacing="0"/>
        <w:jc w:val="both"/>
        <w:rPr>
          <w:color w:val="auto"/>
          <w:highlight w:val="none"/>
        </w:rPr>
      </w:pPr>
      <w:r>
        <w:rPr>
          <w:rFonts w:hint="eastAsia" w:ascii="黑体" w:hAnsi="宋体" w:eastAsia="黑体" w:cs="黑体"/>
          <w:i/>
          <w:color w:val="auto"/>
          <w:sz w:val="32"/>
          <w:szCs w:val="32"/>
          <w:highlight w:val="none"/>
          <w:u w:val="single"/>
          <w:lang w:eastAsia="zh-CN"/>
        </w:rPr>
        <w:t>七</w:t>
      </w:r>
      <w:r>
        <w:rPr>
          <w:rFonts w:hint="eastAsia" w:ascii="黑体" w:hAnsi="宋体" w:eastAsia="黑体" w:cs="黑体"/>
          <w:i/>
          <w:color w:val="auto"/>
          <w:sz w:val="32"/>
          <w:szCs w:val="32"/>
          <w:highlight w:val="none"/>
          <w:u w:val="single"/>
        </w:rPr>
        <w:t>、特定资格要求的证明文件</w:t>
      </w:r>
    </w:p>
    <w:p w14:paraId="6C0E595A">
      <w:pPr>
        <w:pStyle w:val="7"/>
        <w:spacing w:beforeAutospacing="0" w:afterAutospacing="0"/>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如果本项目申请人的特定资格要求中要求提供的，必须提供。</w:t>
      </w:r>
    </w:p>
    <w:p w14:paraId="36383EF2">
      <w:pPr>
        <w:pStyle w:val="7"/>
        <w:spacing w:beforeAutospacing="0" w:afterAutospacing="0"/>
        <w:jc w:val="center"/>
        <w:rPr>
          <w:rFonts w:ascii="黑体" w:hAnsi="宋体" w:eastAsia="黑体" w:cs="黑体"/>
          <w:i/>
          <w:color w:val="auto"/>
          <w:sz w:val="32"/>
          <w:szCs w:val="32"/>
          <w:highlight w:val="none"/>
          <w:u w:val="single"/>
        </w:rPr>
      </w:pPr>
    </w:p>
    <w:p w14:paraId="75698D58">
      <w:pPr>
        <w:pStyle w:val="7"/>
        <w:spacing w:beforeAutospacing="0" w:afterAutospacing="0"/>
        <w:jc w:val="center"/>
        <w:rPr>
          <w:rFonts w:hint="eastAsia" w:ascii="黑体" w:hAnsi="宋体" w:eastAsia="黑体" w:cs="黑体"/>
          <w:i/>
          <w:color w:val="auto"/>
          <w:sz w:val="32"/>
          <w:szCs w:val="32"/>
          <w:highlight w:val="none"/>
          <w:u w:val="single"/>
        </w:rPr>
      </w:pPr>
    </w:p>
    <w:p w14:paraId="74D00F05">
      <w:pPr>
        <w:pStyle w:val="7"/>
        <w:spacing w:beforeAutospacing="0" w:afterAutospacing="0"/>
        <w:jc w:val="center"/>
        <w:rPr>
          <w:rFonts w:hint="eastAsia" w:ascii="黑体" w:hAnsi="宋体" w:eastAsia="黑体" w:cs="黑体"/>
          <w:i/>
          <w:color w:val="auto"/>
          <w:sz w:val="32"/>
          <w:szCs w:val="32"/>
          <w:highlight w:val="none"/>
          <w:u w:val="single"/>
        </w:rPr>
      </w:pPr>
    </w:p>
    <w:p w14:paraId="169191C9">
      <w:pPr>
        <w:pStyle w:val="7"/>
        <w:spacing w:beforeAutospacing="0" w:afterAutospacing="0"/>
        <w:jc w:val="center"/>
        <w:rPr>
          <w:color w:val="auto"/>
          <w:highlight w:val="none"/>
        </w:rPr>
      </w:pPr>
      <w:r>
        <w:rPr>
          <w:rFonts w:hint="eastAsia" w:ascii="黑体" w:hAnsi="宋体" w:eastAsia="黑体" w:cs="黑体"/>
          <w:i/>
          <w:color w:val="auto"/>
          <w:sz w:val="32"/>
          <w:szCs w:val="32"/>
          <w:highlight w:val="none"/>
          <w:u w:val="single"/>
          <w:lang w:eastAsia="zh-CN"/>
        </w:rPr>
        <w:t>八</w:t>
      </w:r>
      <w:r>
        <w:rPr>
          <w:rFonts w:hint="eastAsia" w:ascii="黑体" w:hAnsi="宋体" w:eastAsia="黑体" w:cs="黑体"/>
          <w:i/>
          <w:color w:val="auto"/>
          <w:sz w:val="32"/>
          <w:szCs w:val="32"/>
          <w:highlight w:val="none"/>
          <w:u w:val="single"/>
        </w:rPr>
        <w:t>、法人授权书</w:t>
      </w:r>
    </w:p>
    <w:p w14:paraId="678AB3EF">
      <w:pPr>
        <w:pStyle w:val="7"/>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0"/>
        <w:jc w:val="both"/>
        <w:textAlignment w:val="auto"/>
        <w:rPr>
          <w:color w:val="auto"/>
          <w:sz w:val="21"/>
          <w:szCs w:val="21"/>
          <w:highlight w:val="none"/>
        </w:rPr>
      </w:pPr>
      <w:r>
        <w:rPr>
          <w:rFonts w:ascii="Times New Roman" w:hAnsi="Times New Roman"/>
          <w:color w:val="auto"/>
          <w:sz w:val="21"/>
          <w:szCs w:val="21"/>
          <w:highlight w:val="none"/>
        </w:rPr>
        <w:t>本授权书声明：____________（投标人名称）授权________________（被授权人的姓名）为我方就JSZC-</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号项目采购活动的合法代理人，以本单位名义全权处理一切与该项目采购有关的事务。</w:t>
      </w:r>
    </w:p>
    <w:p w14:paraId="4571871F">
      <w:pPr>
        <w:pStyle w:val="7"/>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0"/>
        <w:jc w:val="both"/>
        <w:textAlignment w:val="auto"/>
        <w:rPr>
          <w:color w:val="auto"/>
          <w:sz w:val="21"/>
          <w:szCs w:val="21"/>
          <w:highlight w:val="none"/>
        </w:rPr>
      </w:pPr>
      <w:r>
        <w:rPr>
          <w:rFonts w:ascii="Times New Roman" w:hAnsi="Times New Roman"/>
          <w:color w:val="auto"/>
          <w:sz w:val="21"/>
          <w:szCs w:val="21"/>
          <w:highlight w:val="none"/>
        </w:rPr>
        <w:t>本授权书于______年____月____日起生效，特此声明。</w:t>
      </w:r>
    </w:p>
    <w:p w14:paraId="0D5A8ED5">
      <w:pPr>
        <w:pStyle w:val="7"/>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jc w:val="both"/>
        <w:textAlignment w:val="auto"/>
        <w:rPr>
          <w:color w:val="auto"/>
          <w:sz w:val="21"/>
          <w:szCs w:val="21"/>
          <w:highlight w:val="none"/>
        </w:rPr>
      </w:pPr>
      <w:r>
        <w:rPr>
          <w:rFonts w:ascii="Times New Roman" w:hAnsi="Times New Roman"/>
          <w:color w:val="auto"/>
          <w:sz w:val="21"/>
          <w:szCs w:val="21"/>
          <w:highlight w:val="none"/>
        </w:rPr>
        <w:t>          被授权人身份证号码：</w:t>
      </w:r>
      <w:r>
        <w:rPr>
          <w:rFonts w:ascii="Times New Roman" w:hAnsi="Times New Roman"/>
          <w:color w:val="auto"/>
          <w:sz w:val="21"/>
          <w:szCs w:val="21"/>
          <w:highlight w:val="none"/>
          <w:u w:val="single"/>
        </w:rPr>
        <w:t xml:space="preserve">                              </w:t>
      </w:r>
    </w:p>
    <w:p w14:paraId="71C5CB36">
      <w:pPr>
        <w:pStyle w:val="7"/>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jc w:val="both"/>
        <w:textAlignment w:val="auto"/>
        <w:rPr>
          <w:color w:val="auto"/>
          <w:sz w:val="21"/>
          <w:szCs w:val="21"/>
          <w:highlight w:val="none"/>
        </w:rPr>
      </w:pPr>
      <w:r>
        <w:rPr>
          <w:rFonts w:ascii="Times New Roman" w:hAnsi="Times New Roman"/>
          <w:color w:val="auto"/>
          <w:sz w:val="21"/>
          <w:szCs w:val="21"/>
          <w:highlight w:val="none"/>
        </w:rPr>
        <w:t>          被授权人联系电话：（手机）</w:t>
      </w:r>
      <w:r>
        <w:rPr>
          <w:rFonts w:ascii="Times New Roman" w:hAnsi="Times New Roman"/>
          <w:color w:val="auto"/>
          <w:sz w:val="21"/>
          <w:szCs w:val="21"/>
          <w:highlight w:val="none"/>
          <w:u w:val="single"/>
        </w:rPr>
        <w:t xml:space="preserve">                          </w:t>
      </w:r>
    </w:p>
    <w:p w14:paraId="4FE0B800">
      <w:pPr>
        <w:pStyle w:val="7"/>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630" w:firstLineChars="300"/>
        <w:jc w:val="both"/>
        <w:textAlignment w:val="auto"/>
        <w:rPr>
          <w:color w:val="auto"/>
          <w:sz w:val="21"/>
          <w:szCs w:val="21"/>
          <w:highlight w:val="none"/>
        </w:rPr>
      </w:pPr>
      <w:r>
        <w:rPr>
          <w:rFonts w:ascii="Times New Roman" w:hAnsi="Times New Roman"/>
          <w:color w:val="auto"/>
          <w:sz w:val="21"/>
          <w:szCs w:val="21"/>
          <w:highlight w:val="none"/>
        </w:rPr>
        <w:t>授权单位名称：</w:t>
      </w:r>
      <w:r>
        <w:rPr>
          <w:rFonts w:ascii="Times New Roman" w:hAnsi="Times New Roman"/>
          <w:color w:val="auto"/>
          <w:sz w:val="21"/>
          <w:szCs w:val="21"/>
          <w:highlight w:val="none"/>
          <w:u w:val="single"/>
        </w:rPr>
        <w:t>（加盖CA电子公章）</w:t>
      </w:r>
    </w:p>
    <w:p w14:paraId="4906D769">
      <w:pPr>
        <w:pStyle w:val="7"/>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0"/>
        <w:jc w:val="both"/>
        <w:textAlignment w:val="auto"/>
        <w:rPr>
          <w:color w:val="auto"/>
          <w:sz w:val="21"/>
          <w:szCs w:val="21"/>
          <w:highlight w:val="none"/>
        </w:rPr>
      </w:pPr>
      <w:r>
        <w:rPr>
          <w:rFonts w:ascii="Times New Roman" w:hAnsi="Times New Roman"/>
          <w:color w:val="auto"/>
          <w:sz w:val="21"/>
          <w:szCs w:val="21"/>
          <w:highlight w:val="none"/>
        </w:rPr>
        <w:t>      单位地址：</w:t>
      </w:r>
      <w:r>
        <w:rPr>
          <w:rFonts w:ascii="Times New Roman" w:hAnsi="Times New Roman"/>
          <w:color w:val="auto"/>
          <w:sz w:val="21"/>
          <w:szCs w:val="21"/>
          <w:highlight w:val="none"/>
          <w:u w:val="single"/>
        </w:rPr>
        <w:t xml:space="preserve">                                         </w:t>
      </w:r>
    </w:p>
    <w:p w14:paraId="2561BEF0">
      <w:pPr>
        <w:pStyle w:val="7"/>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0"/>
        <w:jc w:val="both"/>
        <w:textAlignment w:val="auto"/>
        <w:rPr>
          <w:color w:val="auto"/>
          <w:sz w:val="21"/>
          <w:szCs w:val="21"/>
          <w:highlight w:val="none"/>
        </w:rPr>
      </w:pPr>
      <w:r>
        <w:rPr>
          <w:rFonts w:ascii="Times New Roman" w:hAnsi="Times New Roman"/>
          <w:color w:val="auto"/>
          <w:sz w:val="21"/>
          <w:szCs w:val="21"/>
          <w:highlight w:val="none"/>
        </w:rPr>
        <w:t>      日期：</w:t>
      </w:r>
      <w:bookmarkStart w:id="187" w:name="_格式3__银行出具的资信证明"/>
      <w:bookmarkStart w:id="188" w:name="_Hlt26671380"/>
      <w:bookmarkStart w:id="189" w:name="_Hlt26955070"/>
      <w:r>
        <w:rPr>
          <w:rFonts w:ascii="Times New Roman" w:hAnsi="Times New Roman"/>
          <w:color w:val="auto"/>
          <w:sz w:val="21"/>
          <w:szCs w:val="21"/>
          <w:highlight w:val="none"/>
          <w:u w:val="single"/>
        </w:rPr>
        <w:t xml:space="preserve">                                         </w:t>
      </w:r>
    </w:p>
    <w:p w14:paraId="4D78A97A">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jc w:val="both"/>
        <w:textAlignment w:val="auto"/>
        <w:rPr>
          <w:color w:val="auto"/>
          <w:sz w:val="21"/>
          <w:szCs w:val="21"/>
          <w:highlight w:val="none"/>
        </w:rPr>
      </w:pPr>
      <w:r>
        <w:rPr>
          <w:color w:val="auto"/>
          <w:sz w:val="21"/>
          <w:szCs w:val="21"/>
          <w:highlight w:val="none"/>
        </w:rPr>
        <w:t> </w:t>
      </w:r>
    </w:p>
    <w:p w14:paraId="507D7256">
      <w:pPr>
        <w:pStyle w:val="7"/>
        <w:spacing w:beforeAutospacing="0" w:afterAutospacing="0"/>
        <w:jc w:val="both"/>
        <w:rPr>
          <w:color w:val="auto"/>
          <w:highlight w:val="none"/>
        </w:rPr>
      </w:pPr>
      <w:r>
        <w:rPr>
          <w:color w:val="auto"/>
          <w:highlight w:val="none"/>
        </w:rPr>
        <w:t> </w:t>
      </w:r>
    </w:p>
    <w:p w14:paraId="2D868FB0">
      <w:pPr>
        <w:pStyle w:val="7"/>
        <w:spacing w:beforeAutospacing="0" w:afterAutospacing="0" w:line="0" w:lineRule="atLeast"/>
        <w:jc w:val="both"/>
        <w:rPr>
          <w:color w:val="auto"/>
          <w:highlight w:val="none"/>
        </w:rPr>
      </w:pPr>
      <w:r>
        <w:rPr>
          <w:color w:val="auto"/>
          <w:highlight w:val="none"/>
        </w:rPr>
        <w:t> </w:t>
      </w:r>
    </w:p>
    <w:p w14:paraId="08606D99">
      <w:pPr>
        <w:pStyle w:val="7"/>
        <w:spacing w:beforeAutospacing="0" w:afterAutospacing="0" w:line="0" w:lineRule="atLeast"/>
        <w:jc w:val="both"/>
        <w:rPr>
          <w:color w:val="auto"/>
          <w:highlight w:val="none"/>
        </w:rPr>
      </w:pPr>
      <w:r>
        <w:rPr>
          <w:color w:val="auto"/>
          <w:highlight w:val="none"/>
        </w:rPr>
        <w:t> </w:t>
      </w:r>
    </w:p>
    <w:p w14:paraId="7E6C0847">
      <w:pPr>
        <w:pStyle w:val="7"/>
        <w:keepNext/>
        <w:keepLines/>
        <w:spacing w:before="260" w:beforeAutospacing="0" w:after="260" w:afterAutospacing="0" w:line="415" w:lineRule="auto"/>
        <w:ind w:firstLine="3390"/>
        <w:jc w:val="both"/>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r>
      <w:r>
        <w:rPr>
          <w:rFonts w:hint="eastAsia" w:ascii="宋体" w:hAnsi="宋体" w:eastAsia="宋体" w:cs="宋体"/>
          <w:b/>
          <w:color w:val="auto"/>
          <w:highlight w:val="none"/>
        </w:rPr>
        <w:t> </w:t>
      </w:r>
      <w:r>
        <w:rPr>
          <w:rFonts w:hint="eastAsia" w:ascii="黑体" w:hAnsi="宋体" w:eastAsia="黑体" w:cs="黑体"/>
          <w:b/>
          <w:color w:val="auto"/>
          <w:sz w:val="32"/>
          <w:szCs w:val="32"/>
          <w:highlight w:val="none"/>
          <w:lang w:eastAsia="zh-CN"/>
        </w:rPr>
        <w:t>九</w:t>
      </w:r>
      <w:r>
        <w:rPr>
          <w:rFonts w:hint="eastAsia" w:ascii="黑体" w:hAnsi="宋体" w:eastAsia="黑体" w:cs="黑体"/>
          <w:b/>
          <w:color w:val="auto"/>
          <w:sz w:val="32"/>
          <w:szCs w:val="32"/>
          <w:highlight w:val="none"/>
        </w:rPr>
        <w:t>、投标函</w:t>
      </w:r>
    </w:p>
    <w:p w14:paraId="3D00A088">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eastAsia="宋体"/>
          <w:color w:val="auto"/>
          <w:sz w:val="21"/>
          <w:szCs w:val="21"/>
          <w:highlight w:val="none"/>
          <w:lang w:eastAsia="zh-CN"/>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lang w:eastAsia="zh-CN"/>
        </w:rPr>
        <w:t>采购人</w:t>
      </w:r>
    </w:p>
    <w:p w14:paraId="6166CB16">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color w:val="auto"/>
          <w:sz w:val="21"/>
          <w:szCs w:val="21"/>
          <w:highlight w:val="none"/>
        </w:rPr>
      </w:pPr>
      <w:r>
        <w:rPr>
          <w:rFonts w:hint="eastAsia" w:ascii="宋体" w:hAnsi="宋体" w:eastAsia="宋体" w:cs="宋体"/>
          <w:color w:val="auto"/>
          <w:sz w:val="21"/>
          <w:szCs w:val="21"/>
          <w:highlight w:val="none"/>
        </w:rPr>
        <w:t>根据贵方的JSZC-320000-***号招标文件，正式授权下述签字人______(姓名)代表我方______________（投标人的名称），全权处理本次项目投标的有关事宜。</w:t>
      </w:r>
    </w:p>
    <w:p w14:paraId="21FB1B94">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color w:val="auto"/>
          <w:sz w:val="21"/>
          <w:szCs w:val="21"/>
          <w:highlight w:val="none"/>
        </w:rPr>
      </w:pPr>
      <w:r>
        <w:rPr>
          <w:rFonts w:hint="eastAsia" w:ascii="宋体" w:hAnsi="宋体" w:eastAsia="宋体" w:cs="宋体"/>
          <w:color w:val="auto"/>
          <w:sz w:val="21"/>
          <w:szCs w:val="21"/>
          <w:highlight w:val="none"/>
        </w:rPr>
        <w:t>据此函，__________签字人兹宣布同意如下：</w:t>
      </w:r>
    </w:p>
    <w:p w14:paraId="419D7AF7">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color w:val="auto"/>
          <w:sz w:val="21"/>
          <w:szCs w:val="21"/>
          <w:highlight w:val="none"/>
        </w:rPr>
      </w:pPr>
      <w:r>
        <w:rPr>
          <w:rFonts w:hint="eastAsia" w:ascii="宋体" w:hAnsi="宋体" w:eastAsia="宋体" w:cs="宋体"/>
          <w:color w:val="auto"/>
          <w:sz w:val="21"/>
          <w:szCs w:val="21"/>
          <w:highlight w:val="none"/>
        </w:rPr>
        <w:t>1.按招标文件规定的各项要求，向买方提供所需服务（包含与服务相关的货物）。</w:t>
      </w:r>
    </w:p>
    <w:p w14:paraId="0BC64CD7">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color w:val="auto"/>
          <w:sz w:val="21"/>
          <w:szCs w:val="21"/>
          <w:highlight w:val="none"/>
        </w:rPr>
      </w:pPr>
      <w:r>
        <w:rPr>
          <w:rFonts w:hint="eastAsia" w:ascii="宋体" w:hAnsi="宋体" w:eastAsia="宋体" w:cs="宋体"/>
          <w:color w:val="auto"/>
          <w:sz w:val="21"/>
          <w:szCs w:val="21"/>
          <w:highlight w:val="none"/>
        </w:rPr>
        <w:t>2.我们完全理解贵方不一定将合同授予最低报价的投标人。</w:t>
      </w:r>
    </w:p>
    <w:p w14:paraId="6728D0B5">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color w:val="auto"/>
          <w:sz w:val="21"/>
          <w:szCs w:val="21"/>
          <w:highlight w:val="none"/>
        </w:rPr>
      </w:pPr>
      <w:r>
        <w:rPr>
          <w:rFonts w:hint="eastAsia" w:ascii="宋体" w:hAnsi="宋体" w:eastAsia="宋体" w:cs="宋体"/>
          <w:color w:val="auto"/>
          <w:sz w:val="21"/>
          <w:szCs w:val="21"/>
          <w:highlight w:val="none"/>
        </w:rPr>
        <w:t>3.我们已详细审核全部招标文件及其有效补充文件，我们知道必须放弃提出含糊不清或误解问题的权利。</w:t>
      </w:r>
    </w:p>
    <w:p w14:paraId="183F5A8E">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color w:val="auto"/>
          <w:sz w:val="21"/>
          <w:szCs w:val="21"/>
          <w:highlight w:val="none"/>
        </w:rPr>
      </w:pPr>
      <w:r>
        <w:rPr>
          <w:rFonts w:hint="eastAsia" w:ascii="宋体" w:hAnsi="宋体" w:eastAsia="宋体" w:cs="宋体"/>
          <w:color w:val="auto"/>
          <w:sz w:val="21"/>
          <w:szCs w:val="21"/>
          <w:highlight w:val="none"/>
        </w:rPr>
        <w:t>4.我们同意从规定的开标日期起遵循本投标文件，并在规定的投标有效期期满之前均具有约束力。</w:t>
      </w:r>
    </w:p>
    <w:p w14:paraId="254E3F34">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color w:val="auto"/>
          <w:sz w:val="21"/>
          <w:szCs w:val="21"/>
          <w:highlight w:val="none"/>
        </w:rPr>
      </w:pPr>
      <w:r>
        <w:rPr>
          <w:rFonts w:hint="eastAsia" w:ascii="宋体" w:hAnsi="宋体" w:eastAsia="宋体" w:cs="宋体"/>
          <w:color w:val="auto"/>
          <w:sz w:val="21"/>
          <w:szCs w:val="21"/>
          <w:highlight w:val="none"/>
        </w:rPr>
        <w:t>5.同意向贵方提供贵方可能另外要求的与投标有关的任何证据或资料，并保证我方已提供和将要提供的文件是真实的、准确的。</w:t>
      </w:r>
    </w:p>
    <w:p w14:paraId="05D86DA8">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color w:val="auto"/>
          <w:sz w:val="21"/>
          <w:szCs w:val="21"/>
          <w:highlight w:val="none"/>
        </w:rPr>
      </w:pPr>
      <w:r>
        <w:rPr>
          <w:rFonts w:hint="eastAsia" w:ascii="宋体" w:hAnsi="宋体" w:eastAsia="宋体" w:cs="宋体"/>
          <w:color w:val="auto"/>
          <w:sz w:val="21"/>
          <w:szCs w:val="21"/>
          <w:highlight w:val="none"/>
        </w:rPr>
        <w:t>6.一旦我方中标,我方将根据招标文件的规定，严格履行合同的责任和义务,并保证在招标文件规定的时间完成项目，交付买方验收、使用。</w:t>
      </w:r>
    </w:p>
    <w:p w14:paraId="44047C29">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color w:val="auto"/>
          <w:sz w:val="21"/>
          <w:szCs w:val="21"/>
          <w:highlight w:val="none"/>
        </w:rPr>
      </w:pPr>
      <w:r>
        <w:rPr>
          <w:rFonts w:hint="eastAsia" w:ascii="宋体" w:hAnsi="宋体" w:eastAsia="宋体" w:cs="宋体"/>
          <w:color w:val="auto"/>
          <w:sz w:val="21"/>
          <w:szCs w:val="21"/>
          <w:highlight w:val="none"/>
        </w:rPr>
        <w:t>7.与本投标有关的正式通讯地址为：</w:t>
      </w:r>
    </w:p>
    <w:p w14:paraId="1E12394C">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color w:val="auto"/>
          <w:sz w:val="21"/>
          <w:szCs w:val="21"/>
          <w:highlight w:val="none"/>
        </w:rPr>
      </w:pPr>
      <w:r>
        <w:rPr>
          <w:rFonts w:hint="eastAsia" w:ascii="宋体" w:hAnsi="宋体" w:eastAsia="宋体" w:cs="宋体"/>
          <w:color w:val="auto"/>
          <w:sz w:val="21"/>
          <w:szCs w:val="21"/>
          <w:highlight w:val="none"/>
        </w:rPr>
        <w:t>地          址：</w:t>
      </w:r>
    </w:p>
    <w:p w14:paraId="67F682FF">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color w:val="auto"/>
          <w:sz w:val="21"/>
          <w:szCs w:val="21"/>
          <w:highlight w:val="none"/>
        </w:rPr>
      </w:pPr>
      <w:r>
        <w:rPr>
          <w:rFonts w:hint="eastAsia" w:ascii="宋体" w:hAnsi="宋体" w:eastAsia="宋体" w:cs="宋体"/>
          <w:color w:val="auto"/>
          <w:sz w:val="21"/>
          <w:szCs w:val="21"/>
          <w:highlight w:val="none"/>
        </w:rPr>
        <w:t>邮          编：</w:t>
      </w:r>
    </w:p>
    <w:p w14:paraId="6F796EFF">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color w:val="auto"/>
          <w:sz w:val="21"/>
          <w:szCs w:val="21"/>
          <w:highlight w:val="none"/>
        </w:rPr>
      </w:pPr>
      <w:r>
        <w:rPr>
          <w:rFonts w:hint="eastAsia" w:ascii="宋体" w:hAnsi="宋体" w:eastAsia="宋体" w:cs="宋体"/>
          <w:color w:val="auto"/>
          <w:sz w:val="21"/>
          <w:szCs w:val="21"/>
          <w:highlight w:val="none"/>
        </w:rPr>
        <w:t>电          话：</w:t>
      </w:r>
    </w:p>
    <w:p w14:paraId="0C9A1E27">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color w:val="auto"/>
          <w:sz w:val="21"/>
          <w:szCs w:val="21"/>
          <w:highlight w:val="none"/>
        </w:rPr>
      </w:pPr>
      <w:r>
        <w:rPr>
          <w:rFonts w:hint="eastAsia" w:ascii="宋体" w:hAnsi="宋体" w:eastAsia="宋体" w:cs="宋体"/>
          <w:color w:val="auto"/>
          <w:sz w:val="21"/>
          <w:szCs w:val="21"/>
          <w:highlight w:val="none"/>
        </w:rPr>
        <w:t>传          真：</w:t>
      </w:r>
    </w:p>
    <w:p w14:paraId="26C72FF5">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color w:val="auto"/>
          <w:sz w:val="21"/>
          <w:szCs w:val="21"/>
          <w:highlight w:val="none"/>
        </w:rPr>
      </w:pPr>
      <w:r>
        <w:rPr>
          <w:rFonts w:hint="eastAsia" w:ascii="宋体" w:hAnsi="宋体" w:eastAsia="宋体" w:cs="宋体"/>
          <w:color w:val="auto"/>
          <w:sz w:val="21"/>
          <w:szCs w:val="21"/>
          <w:highlight w:val="none"/>
        </w:rPr>
        <w:t>投标人开户行：</w:t>
      </w:r>
    </w:p>
    <w:p w14:paraId="1CC87175">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color w:val="auto"/>
          <w:sz w:val="21"/>
          <w:szCs w:val="21"/>
          <w:highlight w:val="none"/>
        </w:rPr>
      </w:pPr>
      <w:r>
        <w:rPr>
          <w:rFonts w:hint="eastAsia" w:ascii="宋体" w:hAnsi="宋体" w:eastAsia="宋体" w:cs="宋体"/>
          <w:color w:val="auto"/>
          <w:sz w:val="21"/>
          <w:szCs w:val="21"/>
          <w:highlight w:val="none"/>
        </w:rPr>
        <w:t xml:space="preserve">账          号： </w:t>
      </w:r>
    </w:p>
    <w:p w14:paraId="20A6D571">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color w:val="auto"/>
          <w:sz w:val="21"/>
          <w:szCs w:val="21"/>
          <w:highlight w:val="none"/>
        </w:rPr>
      </w:pPr>
      <w:r>
        <w:rPr>
          <w:rFonts w:hint="eastAsia" w:ascii="宋体" w:hAnsi="宋体" w:eastAsia="宋体" w:cs="宋体"/>
          <w:color w:val="auto"/>
          <w:sz w:val="21"/>
          <w:szCs w:val="21"/>
          <w:highlight w:val="none"/>
        </w:rPr>
        <w:t>日           期：________年____月____日</w:t>
      </w:r>
    </w:p>
    <w:p w14:paraId="5D8816BE">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jc w:val="center"/>
        <w:textAlignment w:val="auto"/>
        <w:rPr>
          <w:color w:val="auto"/>
          <w:sz w:val="21"/>
          <w:szCs w:val="21"/>
          <w:highlight w:val="none"/>
        </w:rPr>
      </w:pPr>
      <w:r>
        <w:rPr>
          <w:color w:val="auto"/>
          <w:sz w:val="21"/>
          <w:szCs w:val="21"/>
          <w:highlight w:val="none"/>
        </w:rPr>
        <w:t> </w:t>
      </w:r>
    </w:p>
    <w:p w14:paraId="374F1246">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jc w:val="center"/>
        <w:textAlignment w:val="auto"/>
        <w:rPr>
          <w:color w:val="auto"/>
          <w:sz w:val="21"/>
          <w:szCs w:val="21"/>
          <w:highlight w:val="none"/>
        </w:rPr>
      </w:pPr>
      <w:r>
        <w:rPr>
          <w:color w:val="auto"/>
          <w:sz w:val="21"/>
          <w:szCs w:val="21"/>
          <w:highlight w:val="none"/>
        </w:rPr>
        <w:t> </w:t>
      </w:r>
    </w:p>
    <w:p w14:paraId="1E9677DB">
      <w:pPr>
        <w:pStyle w:val="7"/>
        <w:spacing w:beforeAutospacing="0" w:afterAutospacing="0" w:line="0" w:lineRule="atLeast"/>
        <w:ind w:firstLine="240"/>
        <w:jc w:val="center"/>
        <w:rPr>
          <w:color w:val="auto"/>
          <w:highlight w:val="none"/>
        </w:rPr>
      </w:pPr>
      <w:r>
        <w:rPr>
          <w:color w:val="auto"/>
          <w:highlight w:val="none"/>
        </w:rPr>
        <w:t> </w:t>
      </w:r>
    </w:p>
    <w:p w14:paraId="1D458907">
      <w:pPr>
        <w:pStyle w:val="7"/>
        <w:spacing w:beforeAutospacing="0" w:afterAutospacing="0" w:line="0" w:lineRule="atLeast"/>
        <w:ind w:firstLine="240"/>
        <w:jc w:val="center"/>
        <w:rPr>
          <w:color w:val="auto"/>
          <w:highlight w:val="none"/>
        </w:rPr>
      </w:pPr>
      <w:r>
        <w:rPr>
          <w:color w:val="auto"/>
          <w:highlight w:val="none"/>
        </w:rPr>
        <w:t> </w:t>
      </w:r>
    </w:p>
    <w:p w14:paraId="1961D112">
      <w:pPr>
        <w:pStyle w:val="7"/>
        <w:spacing w:beforeAutospacing="0" w:afterAutospacing="0" w:line="0" w:lineRule="atLeast"/>
        <w:ind w:firstLine="240"/>
        <w:jc w:val="center"/>
        <w:rPr>
          <w:color w:val="auto"/>
          <w:highlight w:val="none"/>
        </w:rPr>
      </w:pPr>
      <w:r>
        <w:rPr>
          <w:color w:val="auto"/>
          <w:highlight w:val="none"/>
        </w:rPr>
        <w:t> </w:t>
      </w:r>
    </w:p>
    <w:p w14:paraId="1175B850">
      <w:pPr>
        <w:pStyle w:val="7"/>
        <w:spacing w:beforeAutospacing="0" w:afterAutospacing="0" w:line="0" w:lineRule="atLeast"/>
        <w:ind w:firstLine="240"/>
        <w:jc w:val="center"/>
        <w:rPr>
          <w:color w:val="auto"/>
          <w:highlight w:val="none"/>
        </w:rPr>
      </w:pPr>
    </w:p>
    <w:p w14:paraId="1A22DA8E">
      <w:pPr>
        <w:pStyle w:val="7"/>
        <w:spacing w:beforeAutospacing="0" w:afterAutospacing="0" w:line="0" w:lineRule="atLeast"/>
        <w:ind w:firstLine="240"/>
        <w:jc w:val="center"/>
        <w:rPr>
          <w:color w:val="auto"/>
          <w:highlight w:val="none"/>
        </w:rPr>
      </w:pPr>
    </w:p>
    <w:p w14:paraId="4B903B3D">
      <w:pPr>
        <w:pStyle w:val="7"/>
        <w:spacing w:beforeAutospacing="0" w:afterAutospacing="0" w:line="0" w:lineRule="atLeast"/>
        <w:jc w:val="both"/>
        <w:rPr>
          <w:color w:val="auto"/>
          <w:highlight w:val="none"/>
        </w:rPr>
      </w:pPr>
    </w:p>
    <w:p w14:paraId="5DB1EF89">
      <w:pPr>
        <w:pStyle w:val="7"/>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lang w:eastAsia="zh-CN"/>
        </w:rPr>
        <w:t>十</w:t>
      </w:r>
      <w:r>
        <w:rPr>
          <w:rFonts w:hint="eastAsia" w:ascii="黑体" w:hAnsi="宋体" w:eastAsia="黑体" w:cs="黑体"/>
          <w:b/>
          <w:color w:val="auto"/>
          <w:sz w:val="32"/>
          <w:szCs w:val="32"/>
          <w:highlight w:val="none"/>
        </w:rPr>
        <w:t>、</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企业声明函（服务）（分包号：**）</w:t>
      </w:r>
    </w:p>
    <w:p w14:paraId="7E4568A0">
      <w:pPr>
        <w:spacing w:line="500" w:lineRule="exact"/>
        <w:ind w:firstLine="480"/>
        <w:jc w:val="both"/>
        <w:rPr>
          <w:rFonts w:hint="eastAsia"/>
          <w:color w:val="auto"/>
          <w:sz w:val="21"/>
          <w:szCs w:val="21"/>
          <w:highlight w:val="none"/>
        </w:rPr>
      </w:pPr>
      <w:r>
        <w:rPr>
          <w:rFonts w:hint="eastAsia"/>
          <w:color w:val="auto"/>
          <w:sz w:val="21"/>
          <w:szCs w:val="21"/>
          <w:highlight w:val="none"/>
        </w:rPr>
        <w:t>本公司（联合体）郑重声明，根据《政府采购促进中小企业发展管理办法》（财库﹝2020﹞46 号）的规定，本公司（联合体）参加</w:t>
      </w:r>
      <w:r>
        <w:rPr>
          <w:rFonts w:hint="eastAsia"/>
          <w:i/>
          <w:iCs/>
          <w:color w:val="auto"/>
          <w:sz w:val="21"/>
          <w:szCs w:val="21"/>
          <w:highlight w:val="none"/>
          <w:u w:val="single"/>
        </w:rPr>
        <w:t>（单位名称）</w:t>
      </w:r>
      <w:r>
        <w:rPr>
          <w:rFonts w:hint="eastAsia"/>
          <w:color w:val="auto"/>
          <w:sz w:val="21"/>
          <w:szCs w:val="21"/>
          <w:highlight w:val="none"/>
        </w:rPr>
        <w:t>组织的采购编号为</w:t>
      </w:r>
      <w:r>
        <w:rPr>
          <w:rFonts w:hint="eastAsia"/>
          <w:color w:val="auto"/>
          <w:sz w:val="21"/>
          <w:szCs w:val="21"/>
          <w:highlight w:val="none"/>
          <w:u w:val="single"/>
          <w:lang w:val="en-US" w:eastAsia="zh-CN"/>
        </w:rPr>
        <w:t xml:space="preserve">     </w:t>
      </w:r>
      <w:r>
        <w:rPr>
          <w:rFonts w:hint="eastAsia"/>
          <w:color w:val="auto"/>
          <w:sz w:val="21"/>
          <w:szCs w:val="21"/>
          <w:highlight w:val="none"/>
          <w:lang w:val="en-US" w:eastAsia="zh-CN"/>
        </w:rPr>
        <w:t>的</w:t>
      </w:r>
      <w:r>
        <w:rPr>
          <w:rFonts w:hint="eastAsia"/>
          <w:i/>
          <w:iCs/>
          <w:color w:val="auto"/>
          <w:sz w:val="21"/>
          <w:szCs w:val="21"/>
          <w:highlight w:val="none"/>
          <w:u w:val="single"/>
        </w:rPr>
        <w:t>（项目名称）</w:t>
      </w:r>
      <w:r>
        <w:rPr>
          <w:rFonts w:hint="eastAsia"/>
          <w:color w:val="auto"/>
          <w:sz w:val="21"/>
          <w:szCs w:val="21"/>
          <w:highlight w:val="none"/>
        </w:rPr>
        <w:t>的采购活动，服务全部由符合政策要求的中小企业承接。相关企业（含联合体中的中小企业、签订分包意向协议的中小企业）的具体情况如下：</w:t>
      </w:r>
    </w:p>
    <w:p w14:paraId="0FA0301B">
      <w:pPr>
        <w:numPr>
          <w:ilvl w:val="0"/>
          <w:numId w:val="2"/>
        </w:numPr>
        <w:spacing w:line="500" w:lineRule="exact"/>
        <w:ind w:firstLine="480"/>
        <w:jc w:val="both"/>
        <w:rPr>
          <w:rFonts w:hint="eastAsia"/>
          <w:color w:val="auto"/>
          <w:sz w:val="21"/>
          <w:szCs w:val="21"/>
          <w:highlight w:val="none"/>
        </w:rPr>
      </w:pPr>
      <w:r>
        <w:rPr>
          <w:rFonts w:hint="eastAsia"/>
          <w:i/>
          <w:iCs/>
          <w:color w:val="auto"/>
          <w:sz w:val="21"/>
          <w:szCs w:val="21"/>
          <w:highlight w:val="none"/>
          <w:u w:val="single"/>
        </w:rPr>
        <w:t>（标的名称）</w:t>
      </w:r>
      <w:r>
        <w:rPr>
          <w:rFonts w:hint="eastAsia"/>
          <w:color w:val="auto"/>
          <w:sz w:val="21"/>
          <w:szCs w:val="21"/>
          <w:highlight w:val="none"/>
        </w:rPr>
        <w:t xml:space="preserve"> ，属于</w:t>
      </w:r>
      <w:r>
        <w:rPr>
          <w:rFonts w:hint="eastAsia"/>
          <w:i/>
          <w:iCs/>
          <w:color w:val="auto"/>
          <w:sz w:val="21"/>
          <w:szCs w:val="21"/>
          <w:highlight w:val="none"/>
          <w:u w:val="single"/>
        </w:rPr>
        <w:t>（采购文件中明确的所属行业）</w:t>
      </w:r>
      <w:r>
        <w:rPr>
          <w:rFonts w:hint="eastAsia"/>
          <w:color w:val="auto"/>
          <w:sz w:val="21"/>
          <w:szCs w:val="21"/>
          <w:highlight w:val="none"/>
        </w:rPr>
        <w:t>；承建（承接）企业为</w:t>
      </w:r>
      <w:r>
        <w:rPr>
          <w:rFonts w:hint="eastAsia"/>
          <w:i/>
          <w:iCs/>
          <w:color w:val="auto"/>
          <w:sz w:val="21"/>
          <w:szCs w:val="21"/>
          <w:highlight w:val="none"/>
          <w:u w:val="single"/>
        </w:rPr>
        <w:t>（企业名称）</w:t>
      </w:r>
      <w:r>
        <w:rPr>
          <w:rFonts w:hint="eastAsia"/>
          <w:color w:val="auto"/>
          <w:sz w:val="21"/>
          <w:szCs w:val="21"/>
          <w:highlight w:val="none"/>
        </w:rPr>
        <w:t>，从业人员</w:t>
      </w:r>
      <w:r>
        <w:rPr>
          <w:rFonts w:hint="eastAsia"/>
          <w:color w:val="auto"/>
          <w:sz w:val="21"/>
          <w:szCs w:val="21"/>
          <w:highlight w:val="none"/>
          <w:u w:val="single"/>
          <w:lang w:val="en-US" w:eastAsia="zh-CN"/>
        </w:rPr>
        <w:t xml:space="preserve">    </w:t>
      </w:r>
      <w:r>
        <w:rPr>
          <w:rFonts w:hint="eastAsia"/>
          <w:color w:val="auto"/>
          <w:sz w:val="21"/>
          <w:szCs w:val="21"/>
          <w:highlight w:val="none"/>
        </w:rPr>
        <w:t>人，营业收入为</w:t>
      </w:r>
      <w:r>
        <w:rPr>
          <w:rFonts w:hint="eastAsia"/>
          <w:color w:val="auto"/>
          <w:sz w:val="21"/>
          <w:szCs w:val="21"/>
          <w:highlight w:val="none"/>
          <w:u w:val="single"/>
          <w:lang w:val="en-US" w:eastAsia="zh-CN"/>
        </w:rPr>
        <w:t xml:space="preserve">    </w:t>
      </w:r>
      <w:r>
        <w:rPr>
          <w:rFonts w:hint="eastAsia"/>
          <w:color w:val="auto"/>
          <w:sz w:val="21"/>
          <w:szCs w:val="21"/>
          <w:highlight w:val="none"/>
        </w:rPr>
        <w:t>万元，资产总额为</w:t>
      </w:r>
      <w:r>
        <w:rPr>
          <w:rFonts w:hint="eastAsia"/>
          <w:color w:val="auto"/>
          <w:sz w:val="21"/>
          <w:szCs w:val="21"/>
          <w:highlight w:val="none"/>
          <w:u w:val="single"/>
          <w:lang w:val="en-US" w:eastAsia="zh-CN"/>
        </w:rPr>
        <w:t xml:space="preserve">    </w:t>
      </w:r>
      <w:r>
        <w:rPr>
          <w:rFonts w:hint="eastAsia"/>
          <w:color w:val="auto"/>
          <w:sz w:val="21"/>
          <w:szCs w:val="21"/>
          <w:highlight w:val="none"/>
        </w:rPr>
        <w:t>万元，属于（</w:t>
      </w:r>
      <w:r>
        <w:rPr>
          <w:rFonts w:hint="eastAsia"/>
          <w:i/>
          <w:iCs/>
          <w:color w:val="auto"/>
          <w:sz w:val="21"/>
          <w:szCs w:val="21"/>
          <w:highlight w:val="none"/>
          <w:u w:val="single"/>
        </w:rPr>
        <w:t>中型企业、小型企业、微型企业</w:t>
      </w:r>
      <w:r>
        <w:rPr>
          <w:rFonts w:hint="eastAsia"/>
          <w:color w:val="auto"/>
          <w:sz w:val="21"/>
          <w:szCs w:val="21"/>
          <w:highlight w:val="none"/>
        </w:rPr>
        <w:t>）；</w:t>
      </w:r>
    </w:p>
    <w:p w14:paraId="398A3BEA">
      <w:pPr>
        <w:numPr>
          <w:ilvl w:val="0"/>
          <w:numId w:val="2"/>
        </w:numPr>
        <w:spacing w:line="500" w:lineRule="exact"/>
        <w:ind w:left="0" w:leftChars="0" w:firstLine="480" w:firstLineChars="0"/>
        <w:jc w:val="both"/>
        <w:rPr>
          <w:rFonts w:hint="eastAsia"/>
          <w:color w:val="auto"/>
          <w:sz w:val="21"/>
          <w:szCs w:val="21"/>
          <w:highlight w:val="none"/>
        </w:rPr>
      </w:pPr>
      <w:r>
        <w:rPr>
          <w:rFonts w:hint="eastAsia"/>
          <w:i/>
          <w:iCs/>
          <w:color w:val="auto"/>
          <w:sz w:val="21"/>
          <w:szCs w:val="21"/>
          <w:highlight w:val="none"/>
          <w:u w:val="single"/>
        </w:rPr>
        <w:t>（标的名称）</w:t>
      </w:r>
      <w:r>
        <w:rPr>
          <w:rFonts w:hint="eastAsia"/>
          <w:color w:val="auto"/>
          <w:sz w:val="21"/>
          <w:szCs w:val="21"/>
          <w:highlight w:val="none"/>
        </w:rPr>
        <w:t xml:space="preserve"> ，属于</w:t>
      </w:r>
      <w:r>
        <w:rPr>
          <w:rFonts w:hint="eastAsia"/>
          <w:i/>
          <w:iCs/>
          <w:color w:val="auto"/>
          <w:sz w:val="21"/>
          <w:szCs w:val="21"/>
          <w:highlight w:val="none"/>
          <w:u w:val="single"/>
        </w:rPr>
        <w:t>（采购文件中明确的所属行业）</w:t>
      </w:r>
      <w:r>
        <w:rPr>
          <w:rFonts w:hint="eastAsia"/>
          <w:color w:val="auto"/>
          <w:sz w:val="21"/>
          <w:szCs w:val="21"/>
          <w:highlight w:val="none"/>
        </w:rPr>
        <w:t>；承建（承接）企业为</w:t>
      </w:r>
      <w:r>
        <w:rPr>
          <w:rFonts w:hint="eastAsia"/>
          <w:i/>
          <w:iCs/>
          <w:color w:val="auto"/>
          <w:sz w:val="21"/>
          <w:szCs w:val="21"/>
          <w:highlight w:val="none"/>
          <w:u w:val="single"/>
        </w:rPr>
        <w:t>（企业名称）</w:t>
      </w:r>
      <w:r>
        <w:rPr>
          <w:rFonts w:hint="eastAsia"/>
          <w:color w:val="auto"/>
          <w:sz w:val="21"/>
          <w:szCs w:val="21"/>
          <w:highlight w:val="none"/>
        </w:rPr>
        <w:t>，从业人员</w:t>
      </w:r>
      <w:r>
        <w:rPr>
          <w:rFonts w:hint="eastAsia"/>
          <w:color w:val="auto"/>
          <w:sz w:val="21"/>
          <w:szCs w:val="21"/>
          <w:highlight w:val="none"/>
          <w:u w:val="single"/>
          <w:lang w:val="en-US" w:eastAsia="zh-CN"/>
        </w:rPr>
        <w:t xml:space="preserve">    </w:t>
      </w:r>
      <w:r>
        <w:rPr>
          <w:rFonts w:hint="eastAsia"/>
          <w:color w:val="auto"/>
          <w:sz w:val="21"/>
          <w:szCs w:val="21"/>
          <w:highlight w:val="none"/>
        </w:rPr>
        <w:t>人，营业收入为</w:t>
      </w:r>
      <w:r>
        <w:rPr>
          <w:rFonts w:hint="eastAsia"/>
          <w:color w:val="auto"/>
          <w:sz w:val="21"/>
          <w:szCs w:val="21"/>
          <w:highlight w:val="none"/>
          <w:u w:val="single"/>
          <w:lang w:val="en-US" w:eastAsia="zh-CN"/>
        </w:rPr>
        <w:t xml:space="preserve">    </w:t>
      </w:r>
      <w:r>
        <w:rPr>
          <w:rFonts w:hint="eastAsia"/>
          <w:color w:val="auto"/>
          <w:sz w:val="21"/>
          <w:szCs w:val="21"/>
          <w:highlight w:val="none"/>
        </w:rPr>
        <w:t>万元，资产总额为</w:t>
      </w:r>
      <w:r>
        <w:rPr>
          <w:rFonts w:hint="eastAsia"/>
          <w:color w:val="auto"/>
          <w:sz w:val="21"/>
          <w:szCs w:val="21"/>
          <w:highlight w:val="none"/>
          <w:u w:val="single"/>
          <w:lang w:val="en-US" w:eastAsia="zh-CN"/>
        </w:rPr>
        <w:t xml:space="preserve">    </w:t>
      </w:r>
      <w:r>
        <w:rPr>
          <w:rFonts w:hint="eastAsia"/>
          <w:color w:val="auto"/>
          <w:sz w:val="21"/>
          <w:szCs w:val="21"/>
          <w:highlight w:val="none"/>
        </w:rPr>
        <w:t>万元，属于</w:t>
      </w:r>
      <w:r>
        <w:rPr>
          <w:rFonts w:hint="eastAsia"/>
          <w:i/>
          <w:iCs/>
          <w:color w:val="auto"/>
          <w:sz w:val="21"/>
          <w:szCs w:val="21"/>
          <w:highlight w:val="none"/>
          <w:u w:val="single"/>
        </w:rPr>
        <w:t>（中型企业、小型企业、微型企业）</w:t>
      </w:r>
      <w:r>
        <w:rPr>
          <w:rFonts w:hint="eastAsia"/>
          <w:color w:val="auto"/>
          <w:sz w:val="21"/>
          <w:szCs w:val="21"/>
          <w:highlight w:val="none"/>
        </w:rPr>
        <w:t>；</w:t>
      </w:r>
    </w:p>
    <w:p w14:paraId="6DDFF59C">
      <w:pPr>
        <w:numPr>
          <w:ilvl w:val="0"/>
          <w:numId w:val="0"/>
        </w:numPr>
        <w:spacing w:line="500" w:lineRule="exact"/>
        <w:ind w:firstLine="420" w:firstLineChars="200"/>
        <w:jc w:val="both"/>
        <w:rPr>
          <w:rFonts w:hint="eastAsia"/>
          <w:color w:val="auto"/>
          <w:sz w:val="21"/>
          <w:szCs w:val="21"/>
          <w:highlight w:val="none"/>
        </w:rPr>
      </w:pPr>
      <w:r>
        <w:rPr>
          <w:rFonts w:hint="eastAsia"/>
          <w:color w:val="auto"/>
          <w:sz w:val="21"/>
          <w:szCs w:val="21"/>
          <w:highlight w:val="none"/>
        </w:rPr>
        <w:t>……</w:t>
      </w:r>
    </w:p>
    <w:p w14:paraId="2B3CD4FD">
      <w:pPr>
        <w:numPr>
          <w:ilvl w:val="0"/>
          <w:numId w:val="0"/>
        </w:numPr>
        <w:spacing w:line="500" w:lineRule="exact"/>
        <w:ind w:firstLine="420" w:firstLineChars="200"/>
        <w:jc w:val="both"/>
        <w:rPr>
          <w:rFonts w:hint="eastAsia"/>
          <w:color w:val="auto"/>
          <w:sz w:val="21"/>
          <w:szCs w:val="21"/>
          <w:highlight w:val="none"/>
        </w:rPr>
      </w:pPr>
      <w:r>
        <w:rPr>
          <w:rFonts w:hint="eastAsia"/>
          <w:color w:val="auto"/>
          <w:sz w:val="21"/>
          <w:szCs w:val="21"/>
          <w:highlight w:val="none"/>
        </w:rPr>
        <w:t>以上企业，不属于大企业的分支机构，不存在控股股东为大企业的情形，也不存在与大企业的负责人为同一人的情形。</w:t>
      </w:r>
    </w:p>
    <w:p w14:paraId="03BB5F47">
      <w:pPr>
        <w:numPr>
          <w:ilvl w:val="0"/>
          <w:numId w:val="0"/>
        </w:numPr>
        <w:spacing w:line="500" w:lineRule="exact"/>
        <w:ind w:firstLine="420" w:firstLineChars="200"/>
        <w:jc w:val="both"/>
        <w:rPr>
          <w:rFonts w:hint="eastAsia"/>
          <w:color w:val="auto"/>
          <w:sz w:val="21"/>
          <w:szCs w:val="21"/>
          <w:highlight w:val="none"/>
        </w:rPr>
      </w:pPr>
      <w:r>
        <w:rPr>
          <w:rFonts w:hint="eastAsia"/>
          <w:color w:val="auto"/>
          <w:sz w:val="21"/>
          <w:szCs w:val="21"/>
          <w:highlight w:val="none"/>
        </w:rPr>
        <w:t>本企业对上述声明内容的真实性负责。如有虚假，将依法承担相应责任。</w:t>
      </w:r>
    </w:p>
    <w:p w14:paraId="5617176E">
      <w:pPr>
        <w:pStyle w:val="7"/>
        <w:spacing w:beforeAutospacing="0" w:afterAutospacing="0" w:line="0" w:lineRule="atLeast"/>
        <w:ind w:right="720"/>
        <w:jc w:val="both"/>
        <w:rPr>
          <w:color w:val="auto"/>
          <w:sz w:val="21"/>
          <w:szCs w:val="21"/>
          <w:highlight w:val="none"/>
        </w:rPr>
      </w:pPr>
      <w:r>
        <w:rPr>
          <w:color w:val="auto"/>
          <w:sz w:val="21"/>
          <w:szCs w:val="21"/>
          <w:highlight w:val="none"/>
        </w:rPr>
        <w:t> </w:t>
      </w:r>
    </w:p>
    <w:p w14:paraId="65F54AF2">
      <w:pPr>
        <w:pStyle w:val="7"/>
        <w:spacing w:beforeAutospacing="0" w:afterAutospacing="0" w:line="0" w:lineRule="atLeast"/>
        <w:ind w:right="180" w:firstLine="360"/>
        <w:jc w:val="right"/>
        <w:rPr>
          <w:color w:val="auto"/>
          <w:sz w:val="21"/>
          <w:szCs w:val="21"/>
          <w:highlight w:val="none"/>
        </w:rPr>
      </w:pPr>
      <w:r>
        <w:rPr>
          <w:rFonts w:hint="eastAsia" w:ascii="宋体" w:hAnsi="宋体" w:eastAsia="宋体" w:cs="宋体"/>
          <w:color w:val="auto"/>
          <w:sz w:val="21"/>
          <w:szCs w:val="21"/>
          <w:highlight w:val="none"/>
        </w:rPr>
        <w:t>企业名称（加盖CA电子公章）：</w:t>
      </w:r>
    </w:p>
    <w:p w14:paraId="4AAF089D">
      <w:pPr>
        <w:pStyle w:val="7"/>
        <w:spacing w:beforeAutospacing="0" w:afterAutospacing="0" w:line="0" w:lineRule="atLeast"/>
        <w:ind w:right="480" w:firstLine="5400"/>
        <w:jc w:val="both"/>
        <w:rPr>
          <w:color w:val="auto"/>
          <w:sz w:val="21"/>
          <w:szCs w:val="21"/>
          <w:highlight w:val="none"/>
        </w:rPr>
      </w:pPr>
      <w:r>
        <w:rPr>
          <w:rFonts w:hint="eastAsia" w:ascii="宋体" w:hAnsi="宋体" w:eastAsia="宋体" w:cs="宋体"/>
          <w:color w:val="auto"/>
          <w:sz w:val="21"/>
          <w:szCs w:val="21"/>
          <w:highlight w:val="none"/>
        </w:rPr>
        <w:t>日  期：</w:t>
      </w:r>
    </w:p>
    <w:p w14:paraId="4DBB8B44">
      <w:pPr>
        <w:pStyle w:val="7"/>
        <w:spacing w:beforeAutospacing="0" w:afterAutospacing="0" w:line="0" w:lineRule="atLeast"/>
        <w:ind w:firstLine="240"/>
        <w:jc w:val="both"/>
        <w:rPr>
          <w:color w:val="auto"/>
          <w:sz w:val="21"/>
          <w:szCs w:val="21"/>
          <w:highlight w:val="none"/>
        </w:rPr>
      </w:pPr>
      <w:r>
        <w:rPr>
          <w:color w:val="auto"/>
          <w:sz w:val="21"/>
          <w:szCs w:val="21"/>
          <w:highlight w:val="none"/>
        </w:rPr>
        <w:t> </w:t>
      </w:r>
    </w:p>
    <w:p w14:paraId="41C4F6E6">
      <w:pPr>
        <w:pStyle w:val="7"/>
        <w:spacing w:beforeAutospacing="0" w:afterAutospacing="0" w:line="0" w:lineRule="atLeast"/>
        <w:ind w:firstLine="480"/>
        <w:jc w:val="both"/>
        <w:rPr>
          <w:color w:val="auto"/>
          <w:sz w:val="21"/>
          <w:szCs w:val="21"/>
          <w:highlight w:val="none"/>
        </w:rPr>
      </w:pPr>
      <w:r>
        <w:rPr>
          <w:rFonts w:hint="eastAsia" w:ascii="宋体" w:hAnsi="宋体" w:eastAsia="宋体" w:cs="宋体"/>
          <w:color w:val="auto"/>
          <w:sz w:val="21"/>
          <w:szCs w:val="21"/>
          <w:highlight w:val="none"/>
        </w:rPr>
        <w:t>备注1：从业人员、营业收入、资产总额填报上一年度数据，无上一年度数据的新成立企业可不填报。</w:t>
      </w:r>
    </w:p>
    <w:p w14:paraId="60E7322B">
      <w:pPr>
        <w:pStyle w:val="7"/>
        <w:spacing w:beforeAutospacing="0" w:afterAutospacing="0" w:line="0" w:lineRule="atLeast"/>
        <w:ind w:firstLine="480"/>
        <w:jc w:val="both"/>
        <w:rPr>
          <w:color w:val="auto"/>
          <w:sz w:val="21"/>
          <w:szCs w:val="21"/>
          <w:highlight w:val="none"/>
        </w:rPr>
      </w:pPr>
      <w:r>
        <w:rPr>
          <w:rFonts w:hint="eastAsia" w:ascii="宋体" w:hAnsi="宋体" w:eastAsia="宋体" w:cs="宋体"/>
          <w:color w:val="auto"/>
          <w:sz w:val="21"/>
          <w:szCs w:val="21"/>
          <w:highlight w:val="none"/>
        </w:rPr>
        <w:t>备注2：供应商如不提供此声明函，价格将不做相应扣除</w:t>
      </w:r>
      <w:r>
        <w:rPr>
          <w:rFonts w:hint="eastAsia" w:ascii="宋体" w:hAnsi="宋体" w:eastAsia="宋体" w:cs="宋体"/>
          <w:color w:val="auto"/>
          <w:sz w:val="21"/>
          <w:szCs w:val="21"/>
          <w:highlight w:val="none"/>
          <w:lang w:eastAsia="zh-CN"/>
        </w:rPr>
        <w:t>（如项目全面面向中小企业，则资格审查不通过）</w:t>
      </w:r>
      <w:r>
        <w:rPr>
          <w:rFonts w:hint="eastAsia" w:ascii="宋体" w:hAnsi="宋体" w:eastAsia="宋体" w:cs="宋体"/>
          <w:color w:val="auto"/>
          <w:sz w:val="21"/>
          <w:szCs w:val="21"/>
          <w:highlight w:val="none"/>
        </w:rPr>
        <w:t>。</w:t>
      </w:r>
    </w:p>
    <w:p w14:paraId="1B902A4E">
      <w:pPr>
        <w:pStyle w:val="7"/>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auto"/>
          <w:sz w:val="32"/>
          <w:szCs w:val="32"/>
          <w:highlight w:val="none"/>
        </w:rPr>
        <w:t> 十</w:t>
      </w:r>
      <w:r>
        <w:rPr>
          <w:rFonts w:hint="eastAsia" w:ascii="黑体" w:hAnsi="宋体" w:eastAsia="黑体" w:cs="黑体"/>
          <w:b/>
          <w:color w:val="auto"/>
          <w:sz w:val="32"/>
          <w:szCs w:val="32"/>
          <w:highlight w:val="none"/>
          <w:lang w:eastAsia="zh-CN"/>
        </w:rPr>
        <w:t>一</w:t>
      </w:r>
      <w:r>
        <w:rPr>
          <w:rFonts w:hint="eastAsia" w:ascii="黑体" w:hAnsi="宋体" w:eastAsia="黑体" w:cs="黑体"/>
          <w:b/>
          <w:color w:val="auto"/>
          <w:sz w:val="32"/>
          <w:szCs w:val="32"/>
          <w:highlight w:val="none"/>
        </w:rPr>
        <w:t>、残疾人福利性单位声明函（分包号：**）</w:t>
      </w:r>
    </w:p>
    <w:p w14:paraId="45771228">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color w:val="auto"/>
          <w:sz w:val="21"/>
          <w:szCs w:val="21"/>
          <w:highlight w:val="none"/>
        </w:rPr>
      </w:pPr>
      <w:r>
        <w:rPr>
          <w:rFonts w:hint="eastAsia" w:ascii="宋体" w:hAnsi="宋体" w:eastAsia="宋体" w:cs="宋体"/>
          <w:color w:val="auto"/>
          <w:sz w:val="21"/>
          <w:szCs w:val="21"/>
          <w:highlight w:val="none"/>
        </w:rPr>
        <w:t>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lang w:eastAsia="zh-CN"/>
        </w:rPr>
        <w:t>〔2017〕141号</w:t>
      </w:r>
      <w:r>
        <w:rPr>
          <w:rFonts w:hint="eastAsia" w:ascii="宋体" w:hAnsi="宋体" w:eastAsia="宋体" w:cs="宋体"/>
          <w:color w:val="auto"/>
          <w:sz w:val="21"/>
          <w:szCs w:val="21"/>
          <w:highlight w:val="none"/>
        </w:rPr>
        <w:t>）的规定，本单位为符合条件的残疾人福利性单位，且本单位参加______单位的采购文件编号为______的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项目（分包号：**）采购活动由本单位提供服务。</w:t>
      </w:r>
    </w:p>
    <w:p w14:paraId="7E4DB71A">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color w:val="auto"/>
          <w:sz w:val="21"/>
          <w:szCs w:val="21"/>
          <w:highlight w:val="none"/>
        </w:rPr>
      </w:pPr>
      <w:r>
        <w:rPr>
          <w:rFonts w:hint="eastAsia" w:ascii="宋体" w:hAnsi="宋体" w:eastAsia="宋体" w:cs="宋体"/>
          <w:color w:val="auto"/>
          <w:sz w:val="21"/>
          <w:szCs w:val="21"/>
          <w:highlight w:val="none"/>
        </w:rPr>
        <w:t>本单位对上述声明的真实性负责。如有虚假，将依法承担相应责任。</w:t>
      </w:r>
    </w:p>
    <w:p w14:paraId="038ED0A8">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color w:val="auto"/>
          <w:sz w:val="21"/>
          <w:szCs w:val="21"/>
          <w:highlight w:val="none"/>
        </w:rPr>
      </w:pPr>
      <w:r>
        <w:rPr>
          <w:color w:val="auto"/>
          <w:sz w:val="21"/>
          <w:szCs w:val="21"/>
          <w:highlight w:val="none"/>
        </w:rPr>
        <w:t> </w:t>
      </w:r>
    </w:p>
    <w:p w14:paraId="2CE49D24">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eastAsia="宋体"/>
          <w:color w:val="auto"/>
          <w:sz w:val="21"/>
          <w:szCs w:val="21"/>
          <w:highlight w:val="none"/>
          <w:lang w:eastAsia="zh-CN"/>
        </w:rPr>
      </w:pPr>
      <w:r>
        <w:rPr>
          <w:rFonts w:hint="eastAsia" w:ascii="宋体" w:hAnsi="宋体" w:eastAsia="宋体" w:cs="宋体"/>
          <w:color w:val="auto"/>
          <w:sz w:val="21"/>
          <w:szCs w:val="21"/>
          <w:highlight w:val="none"/>
        </w:rPr>
        <w:t>备注：1、供应商如不提供此声明函，价格将不做相应扣除</w:t>
      </w:r>
      <w:r>
        <w:rPr>
          <w:rFonts w:hint="eastAsia" w:ascii="宋体" w:hAnsi="宋体" w:eastAsia="宋体" w:cs="宋体"/>
          <w:color w:val="auto"/>
          <w:sz w:val="21"/>
          <w:szCs w:val="21"/>
          <w:highlight w:val="none"/>
          <w:lang w:eastAsia="zh-CN"/>
        </w:rPr>
        <w:t>（如项目全面面向中小企业，则资格审查不通过）。</w:t>
      </w:r>
    </w:p>
    <w:p w14:paraId="623BA596">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color w:val="auto"/>
          <w:sz w:val="21"/>
          <w:szCs w:val="21"/>
          <w:highlight w:val="none"/>
        </w:rPr>
      </w:pPr>
      <w:r>
        <w:rPr>
          <w:rFonts w:hint="eastAsia" w:ascii="宋体" w:hAnsi="宋体" w:eastAsia="宋体" w:cs="宋体"/>
          <w:color w:val="auto"/>
          <w:sz w:val="21"/>
          <w:szCs w:val="21"/>
          <w:highlight w:val="none"/>
        </w:rPr>
        <w:t>2、中标人为残疾人福利单位的，此声明函将随中标结果同时公告，接受社会监督</w:t>
      </w:r>
    </w:p>
    <w:p w14:paraId="2DEB716C">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624"/>
        <w:jc w:val="both"/>
        <w:textAlignment w:val="auto"/>
        <w:rPr>
          <w:color w:val="auto"/>
          <w:sz w:val="21"/>
          <w:szCs w:val="21"/>
          <w:highlight w:val="none"/>
        </w:rPr>
      </w:pPr>
      <w:r>
        <w:rPr>
          <w:color w:val="auto"/>
          <w:sz w:val="21"/>
          <w:szCs w:val="21"/>
          <w:highlight w:val="none"/>
        </w:rPr>
        <w:t> </w:t>
      </w:r>
    </w:p>
    <w:p w14:paraId="68E0E38F">
      <w:pPr>
        <w:pStyle w:val="7"/>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360" w:lineRule="auto"/>
        <w:ind w:right="1560" w:firstLine="624"/>
        <w:jc w:val="center"/>
        <w:textAlignment w:val="auto"/>
        <w:rPr>
          <w:color w:val="auto"/>
          <w:sz w:val="21"/>
          <w:szCs w:val="21"/>
          <w:highlight w:val="none"/>
        </w:rPr>
      </w:pPr>
      <w:r>
        <w:rPr>
          <w:rFonts w:ascii="仿宋_GB2312" w:eastAsia="仿宋_GB2312" w:cs="仿宋_GB2312"/>
          <w:color w:val="auto"/>
          <w:sz w:val="21"/>
          <w:szCs w:val="21"/>
          <w:highlight w:val="none"/>
        </w:rPr>
        <w:t xml:space="preserve">             </w:t>
      </w:r>
      <w:r>
        <w:rPr>
          <w:rFonts w:hint="eastAsia" w:ascii="宋体" w:hAnsi="宋体" w:eastAsia="宋体" w:cs="宋体"/>
          <w:color w:val="auto"/>
          <w:sz w:val="21"/>
          <w:szCs w:val="21"/>
          <w:highlight w:val="none"/>
        </w:rPr>
        <w:t>          供应商全称（加盖CA电子公章）：</w:t>
      </w:r>
    </w:p>
    <w:p w14:paraId="71FC6B19">
      <w:pPr>
        <w:pStyle w:val="7"/>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360" w:lineRule="auto"/>
        <w:ind w:right="1560" w:firstLine="480"/>
        <w:jc w:val="center"/>
        <w:textAlignment w:val="auto"/>
        <w:rPr>
          <w:color w:val="auto"/>
          <w:sz w:val="21"/>
          <w:szCs w:val="21"/>
          <w:highlight w:val="none"/>
        </w:rPr>
      </w:pPr>
      <w:r>
        <w:rPr>
          <w:rFonts w:hint="eastAsia" w:ascii="宋体" w:hAnsi="宋体" w:eastAsia="宋体" w:cs="宋体"/>
          <w:color w:val="auto"/>
          <w:sz w:val="21"/>
          <w:szCs w:val="21"/>
          <w:highlight w:val="none"/>
        </w:rPr>
        <w:t>        日  期：</w:t>
      </w:r>
    </w:p>
    <w:p w14:paraId="4CAE7DE8">
      <w:pPr>
        <w:pStyle w:val="7"/>
        <w:spacing w:beforeAutospacing="0" w:afterAutospacing="0" w:line="0" w:lineRule="atLeast"/>
        <w:jc w:val="center"/>
        <w:rPr>
          <w:color w:val="auto"/>
          <w:highlight w:val="none"/>
        </w:rPr>
      </w:pPr>
      <w:r>
        <w:rPr>
          <w:color w:val="auto"/>
          <w:highlight w:val="none"/>
        </w:rPr>
        <w:t> </w:t>
      </w:r>
    </w:p>
    <w:p w14:paraId="79CCB60B">
      <w:pPr>
        <w:pStyle w:val="7"/>
        <w:spacing w:beforeAutospacing="0" w:afterAutospacing="0" w:line="0" w:lineRule="atLeast"/>
        <w:jc w:val="center"/>
        <w:rPr>
          <w:color w:val="auto"/>
          <w:highlight w:val="none"/>
        </w:rPr>
      </w:pPr>
      <w:r>
        <w:rPr>
          <w:color w:val="auto"/>
          <w:highlight w:val="none"/>
        </w:rPr>
        <w:t> </w:t>
      </w:r>
    </w:p>
    <w:p w14:paraId="33F73644">
      <w:pPr>
        <w:pStyle w:val="7"/>
        <w:spacing w:beforeAutospacing="0" w:afterAutospacing="0" w:line="0" w:lineRule="atLeast"/>
        <w:jc w:val="center"/>
        <w:rPr>
          <w:color w:val="auto"/>
          <w:highlight w:val="none"/>
        </w:rPr>
      </w:pPr>
      <w:r>
        <w:rPr>
          <w:color w:val="auto"/>
          <w:highlight w:val="none"/>
        </w:rPr>
        <w:t> </w:t>
      </w:r>
    </w:p>
    <w:p w14:paraId="3496452A">
      <w:pPr>
        <w:pStyle w:val="7"/>
        <w:spacing w:beforeAutospacing="0" w:afterAutospacing="0" w:line="0" w:lineRule="atLeast"/>
        <w:jc w:val="center"/>
        <w:rPr>
          <w:color w:val="auto"/>
          <w:highlight w:val="none"/>
        </w:rPr>
      </w:pPr>
      <w:r>
        <w:rPr>
          <w:color w:val="auto"/>
          <w:highlight w:val="none"/>
        </w:rPr>
        <w:t> </w:t>
      </w:r>
    </w:p>
    <w:p w14:paraId="4B080546">
      <w:pPr>
        <w:pStyle w:val="7"/>
        <w:spacing w:beforeAutospacing="0" w:afterAutospacing="0" w:line="0" w:lineRule="atLeast"/>
        <w:jc w:val="center"/>
        <w:rPr>
          <w:color w:val="auto"/>
          <w:highlight w:val="none"/>
        </w:rPr>
      </w:pPr>
      <w:r>
        <w:rPr>
          <w:color w:val="auto"/>
          <w:highlight w:val="none"/>
        </w:rPr>
        <w:t> </w:t>
      </w:r>
    </w:p>
    <w:p w14:paraId="02057137">
      <w:pPr>
        <w:pStyle w:val="7"/>
        <w:spacing w:beforeAutospacing="0" w:afterAutospacing="0" w:line="0" w:lineRule="atLeast"/>
        <w:jc w:val="center"/>
        <w:rPr>
          <w:color w:val="auto"/>
          <w:highlight w:val="none"/>
        </w:rPr>
      </w:pPr>
      <w:r>
        <w:rPr>
          <w:color w:val="auto"/>
          <w:highlight w:val="none"/>
        </w:rPr>
        <w:t> </w:t>
      </w:r>
    </w:p>
    <w:p w14:paraId="700638F4">
      <w:pPr>
        <w:pStyle w:val="7"/>
        <w:spacing w:beforeAutospacing="0" w:afterAutospacing="0" w:line="0" w:lineRule="atLeast"/>
        <w:jc w:val="center"/>
        <w:rPr>
          <w:color w:val="auto"/>
          <w:highlight w:val="none"/>
        </w:rPr>
      </w:pPr>
      <w:r>
        <w:rPr>
          <w:color w:val="auto"/>
          <w:highlight w:val="none"/>
        </w:rPr>
        <w:t> </w:t>
      </w:r>
    </w:p>
    <w:p w14:paraId="30C018EE">
      <w:pPr>
        <w:pStyle w:val="7"/>
        <w:spacing w:beforeAutospacing="0" w:afterAutospacing="0" w:line="0" w:lineRule="atLeast"/>
        <w:jc w:val="center"/>
        <w:rPr>
          <w:color w:val="auto"/>
          <w:highlight w:val="none"/>
        </w:rPr>
      </w:pPr>
      <w:r>
        <w:rPr>
          <w:color w:val="auto"/>
          <w:highlight w:val="none"/>
        </w:rPr>
        <w:t> </w:t>
      </w:r>
    </w:p>
    <w:p w14:paraId="5E0FC57F">
      <w:pPr>
        <w:pStyle w:val="7"/>
        <w:spacing w:beforeAutospacing="0" w:afterAutospacing="0" w:line="0" w:lineRule="atLeast"/>
        <w:jc w:val="center"/>
        <w:rPr>
          <w:color w:val="auto"/>
          <w:highlight w:val="none"/>
        </w:rPr>
      </w:pPr>
    </w:p>
    <w:p w14:paraId="1BB1CD5E">
      <w:pPr>
        <w:pStyle w:val="7"/>
        <w:spacing w:beforeAutospacing="0" w:afterAutospacing="0" w:line="0" w:lineRule="atLeast"/>
        <w:jc w:val="center"/>
        <w:rPr>
          <w:color w:val="auto"/>
          <w:highlight w:val="none"/>
        </w:rPr>
      </w:pPr>
    </w:p>
    <w:p w14:paraId="6CDDA815">
      <w:pPr>
        <w:pStyle w:val="7"/>
        <w:spacing w:beforeAutospacing="0" w:afterAutospacing="0" w:line="0" w:lineRule="atLeast"/>
        <w:jc w:val="center"/>
        <w:rPr>
          <w:color w:val="auto"/>
          <w:highlight w:val="none"/>
        </w:rPr>
      </w:pPr>
    </w:p>
    <w:p w14:paraId="7171CEF5">
      <w:pPr>
        <w:pStyle w:val="7"/>
        <w:spacing w:beforeAutospacing="0" w:afterAutospacing="0" w:line="0" w:lineRule="atLeast"/>
        <w:jc w:val="center"/>
        <w:rPr>
          <w:color w:val="auto"/>
          <w:highlight w:val="none"/>
        </w:rPr>
      </w:pPr>
    </w:p>
    <w:p w14:paraId="621C7D7D">
      <w:pPr>
        <w:pStyle w:val="7"/>
        <w:spacing w:beforeAutospacing="0" w:afterAutospacing="0" w:line="0" w:lineRule="atLeast"/>
        <w:jc w:val="center"/>
        <w:rPr>
          <w:color w:val="auto"/>
          <w:highlight w:val="none"/>
        </w:rPr>
      </w:pPr>
    </w:p>
    <w:p w14:paraId="185C1AC1">
      <w:pPr>
        <w:pStyle w:val="7"/>
        <w:spacing w:beforeAutospacing="0" w:afterAutospacing="0" w:line="0" w:lineRule="atLeast"/>
        <w:jc w:val="center"/>
        <w:rPr>
          <w:color w:val="auto"/>
          <w:highlight w:val="none"/>
        </w:rPr>
      </w:pPr>
    </w:p>
    <w:p w14:paraId="3C7D42B4">
      <w:pPr>
        <w:pStyle w:val="7"/>
        <w:spacing w:beforeAutospacing="0" w:afterAutospacing="0" w:line="0" w:lineRule="atLeast"/>
        <w:jc w:val="center"/>
        <w:rPr>
          <w:color w:val="auto"/>
          <w:highlight w:val="none"/>
        </w:rPr>
      </w:pPr>
    </w:p>
    <w:p w14:paraId="419C340F">
      <w:pPr>
        <w:pStyle w:val="7"/>
        <w:spacing w:beforeAutospacing="0" w:afterAutospacing="0" w:line="0" w:lineRule="atLeast"/>
        <w:jc w:val="center"/>
        <w:rPr>
          <w:color w:val="auto"/>
          <w:highlight w:val="none"/>
        </w:rPr>
      </w:pPr>
    </w:p>
    <w:p w14:paraId="655B8C46">
      <w:pPr>
        <w:pStyle w:val="7"/>
        <w:spacing w:beforeAutospacing="0" w:afterAutospacing="0" w:line="0" w:lineRule="atLeast"/>
        <w:jc w:val="center"/>
        <w:rPr>
          <w:color w:val="auto"/>
          <w:highlight w:val="none"/>
        </w:rPr>
      </w:pPr>
    </w:p>
    <w:p w14:paraId="5FF3FC30">
      <w:pPr>
        <w:pStyle w:val="7"/>
        <w:spacing w:beforeAutospacing="0" w:afterAutospacing="0" w:line="0" w:lineRule="atLeast"/>
        <w:jc w:val="center"/>
        <w:rPr>
          <w:color w:val="auto"/>
          <w:highlight w:val="none"/>
        </w:rPr>
      </w:pPr>
    </w:p>
    <w:p w14:paraId="65C229CD">
      <w:pPr>
        <w:pStyle w:val="7"/>
        <w:spacing w:beforeAutospacing="0" w:afterAutospacing="0" w:line="0" w:lineRule="atLeast"/>
        <w:jc w:val="center"/>
        <w:rPr>
          <w:color w:val="auto"/>
          <w:highlight w:val="none"/>
        </w:rPr>
      </w:pPr>
    </w:p>
    <w:p w14:paraId="52326A6B">
      <w:pPr>
        <w:pStyle w:val="7"/>
        <w:spacing w:beforeAutospacing="0" w:afterAutospacing="0" w:line="0" w:lineRule="atLeast"/>
        <w:jc w:val="center"/>
        <w:rPr>
          <w:color w:val="auto"/>
          <w:highlight w:val="none"/>
        </w:rPr>
      </w:pPr>
    </w:p>
    <w:p w14:paraId="5B87A83B">
      <w:pPr>
        <w:pStyle w:val="7"/>
        <w:spacing w:beforeAutospacing="0" w:afterAutospacing="0" w:line="0" w:lineRule="atLeast"/>
        <w:jc w:val="center"/>
        <w:rPr>
          <w:color w:val="auto"/>
          <w:highlight w:val="none"/>
        </w:rPr>
      </w:pPr>
    </w:p>
    <w:p w14:paraId="7EF65966">
      <w:pPr>
        <w:pStyle w:val="7"/>
        <w:spacing w:beforeAutospacing="0" w:afterAutospacing="0" w:line="0" w:lineRule="atLeast"/>
        <w:jc w:val="center"/>
        <w:rPr>
          <w:color w:val="auto"/>
          <w:highlight w:val="none"/>
        </w:rPr>
      </w:pPr>
    </w:p>
    <w:p w14:paraId="4F55E89B">
      <w:pPr>
        <w:pStyle w:val="7"/>
        <w:spacing w:beforeAutospacing="0" w:afterAutospacing="0" w:line="0" w:lineRule="atLeast"/>
        <w:jc w:val="center"/>
        <w:rPr>
          <w:color w:val="auto"/>
          <w:highlight w:val="none"/>
        </w:rPr>
      </w:pPr>
    </w:p>
    <w:p w14:paraId="2A727E5C">
      <w:pPr>
        <w:pStyle w:val="7"/>
        <w:spacing w:beforeAutospacing="0" w:afterAutospacing="0" w:line="0" w:lineRule="atLeast"/>
        <w:jc w:val="center"/>
        <w:rPr>
          <w:color w:val="auto"/>
          <w:highlight w:val="none"/>
        </w:rPr>
      </w:pPr>
    </w:p>
    <w:p w14:paraId="1F6022FC">
      <w:pPr>
        <w:pStyle w:val="7"/>
        <w:spacing w:beforeAutospacing="0" w:afterAutospacing="0" w:line="0" w:lineRule="atLeast"/>
        <w:jc w:val="center"/>
        <w:rPr>
          <w:color w:val="auto"/>
          <w:highlight w:val="none"/>
        </w:rPr>
      </w:pPr>
    </w:p>
    <w:p w14:paraId="692FCFDF">
      <w:pPr>
        <w:pStyle w:val="7"/>
        <w:spacing w:beforeAutospacing="0" w:afterAutospacing="0" w:line="0" w:lineRule="atLeast"/>
        <w:jc w:val="center"/>
        <w:rPr>
          <w:color w:val="auto"/>
          <w:highlight w:val="none"/>
        </w:rPr>
      </w:pPr>
    </w:p>
    <w:p w14:paraId="6BA1D6FF">
      <w:pPr>
        <w:pStyle w:val="7"/>
        <w:spacing w:beforeAutospacing="0" w:afterAutospacing="0" w:line="0" w:lineRule="atLeast"/>
        <w:jc w:val="center"/>
        <w:rPr>
          <w:color w:val="auto"/>
          <w:highlight w:val="none"/>
        </w:rPr>
      </w:pPr>
    </w:p>
    <w:p w14:paraId="19499222">
      <w:pPr>
        <w:pStyle w:val="7"/>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二</w:t>
      </w:r>
      <w:r>
        <w:rPr>
          <w:rFonts w:hint="eastAsia" w:ascii="黑体" w:hAnsi="宋体" w:eastAsia="黑体" w:cs="黑体"/>
          <w:b/>
          <w:color w:val="auto"/>
          <w:sz w:val="32"/>
          <w:szCs w:val="32"/>
          <w:highlight w:val="none"/>
        </w:rPr>
        <w:t>、投标分项报价表（分包号：**）</w:t>
      </w:r>
    </w:p>
    <w:tbl>
      <w:tblPr>
        <w:tblStyle w:val="9"/>
        <w:tblW w:w="8639"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1795"/>
        <w:gridCol w:w="761"/>
        <w:gridCol w:w="1092"/>
        <w:gridCol w:w="1237"/>
        <w:gridCol w:w="2875"/>
      </w:tblGrid>
      <w:tr w14:paraId="6B5A2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879" w:type="dxa"/>
            <w:noWrap w:val="0"/>
            <w:vAlign w:val="center"/>
          </w:tcPr>
          <w:p w14:paraId="5EF5053F">
            <w:pPr>
              <w:widowControl/>
              <w:spacing w:line="360" w:lineRule="auto"/>
              <w:jc w:val="center"/>
              <w:rPr>
                <w:rFonts w:ascii="宋体" w:hAnsi="宋体"/>
                <w:color w:val="auto"/>
                <w:kern w:val="0"/>
                <w:sz w:val="24"/>
                <w:szCs w:val="24"/>
                <w:highlight w:val="none"/>
              </w:rPr>
            </w:pPr>
            <w:r>
              <w:rPr>
                <w:rFonts w:hint="eastAsia" w:ascii="宋体" w:hAnsi="宋体"/>
                <w:color w:val="auto"/>
                <w:kern w:val="0"/>
                <w:sz w:val="24"/>
                <w:szCs w:val="24"/>
                <w:highlight w:val="none"/>
              </w:rPr>
              <w:t>序号</w:t>
            </w:r>
          </w:p>
        </w:tc>
        <w:tc>
          <w:tcPr>
            <w:tcW w:w="1795" w:type="dxa"/>
            <w:noWrap w:val="0"/>
            <w:vAlign w:val="center"/>
          </w:tcPr>
          <w:p w14:paraId="03A636E8">
            <w:pPr>
              <w:widowControl/>
              <w:spacing w:line="360" w:lineRule="auto"/>
              <w:jc w:val="center"/>
              <w:rPr>
                <w:rFonts w:ascii="宋体" w:hAnsi="宋体"/>
                <w:color w:val="auto"/>
                <w:kern w:val="0"/>
                <w:sz w:val="24"/>
                <w:szCs w:val="24"/>
                <w:highlight w:val="none"/>
              </w:rPr>
            </w:pPr>
            <w:r>
              <w:rPr>
                <w:rFonts w:hint="eastAsia" w:ascii="宋体" w:hAnsi="宋体"/>
                <w:color w:val="auto"/>
                <w:kern w:val="0"/>
                <w:sz w:val="24"/>
                <w:szCs w:val="24"/>
                <w:highlight w:val="none"/>
              </w:rPr>
              <w:t>标的物名称</w:t>
            </w:r>
          </w:p>
        </w:tc>
        <w:tc>
          <w:tcPr>
            <w:tcW w:w="761" w:type="dxa"/>
            <w:noWrap w:val="0"/>
            <w:vAlign w:val="center"/>
          </w:tcPr>
          <w:p w14:paraId="0DBAB7A3">
            <w:pPr>
              <w:keepNext w:val="0"/>
              <w:keepLines w:val="0"/>
              <w:pageBreakBefore w:val="0"/>
              <w:widowControl/>
              <w:spacing w:line="400" w:lineRule="exact"/>
              <w:jc w:val="center"/>
              <w:rPr>
                <w:rFonts w:ascii="宋体" w:hAnsi="宋体"/>
                <w:color w:val="auto"/>
                <w:kern w:val="0"/>
                <w:sz w:val="24"/>
                <w:szCs w:val="24"/>
                <w:highlight w:val="none"/>
              </w:rPr>
            </w:pPr>
            <w:r>
              <w:rPr>
                <w:rFonts w:hint="eastAsia" w:ascii="宋体" w:hAnsi="宋体" w:eastAsia="宋体" w:cs="宋体"/>
                <w:color w:val="auto"/>
                <w:sz w:val="24"/>
                <w:szCs w:val="24"/>
                <w:highlight w:val="none"/>
              </w:rPr>
              <w:t>人数</w:t>
            </w:r>
          </w:p>
        </w:tc>
        <w:tc>
          <w:tcPr>
            <w:tcW w:w="1092" w:type="dxa"/>
            <w:noWrap w:val="0"/>
            <w:vAlign w:val="center"/>
          </w:tcPr>
          <w:p w14:paraId="644CBADB">
            <w:pPr>
              <w:keepNext w:val="0"/>
              <w:keepLines w:val="0"/>
              <w:pageBreakBefore w:val="0"/>
              <w:widowControl/>
              <w:spacing w:line="400" w:lineRule="exact"/>
              <w:jc w:val="center"/>
              <w:rPr>
                <w:rFonts w:ascii="宋体" w:hAnsi="宋体"/>
                <w:color w:val="auto"/>
                <w:kern w:val="0"/>
                <w:sz w:val="24"/>
                <w:szCs w:val="24"/>
                <w:highlight w:val="none"/>
              </w:rPr>
            </w:pPr>
            <w:r>
              <w:rPr>
                <w:rFonts w:hint="eastAsia" w:ascii="宋体" w:hAnsi="宋体" w:eastAsia="宋体" w:cs="宋体"/>
                <w:color w:val="auto"/>
                <w:sz w:val="24"/>
                <w:szCs w:val="24"/>
                <w:highlight w:val="none"/>
              </w:rPr>
              <w:t>单价（元/人/</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rPr>
              <w:t>）</w:t>
            </w:r>
          </w:p>
        </w:tc>
        <w:tc>
          <w:tcPr>
            <w:tcW w:w="1237" w:type="dxa"/>
            <w:noWrap w:val="0"/>
            <w:vAlign w:val="center"/>
          </w:tcPr>
          <w:p w14:paraId="425408A5">
            <w:pPr>
              <w:keepNext w:val="0"/>
              <w:keepLines w:val="0"/>
              <w:pageBreakBefore w:val="0"/>
              <w:widowControl/>
              <w:spacing w:line="400" w:lineRule="exact"/>
              <w:jc w:val="center"/>
              <w:rPr>
                <w:rFonts w:ascii="宋体" w:hAnsi="宋体"/>
                <w:color w:val="auto"/>
                <w:kern w:val="0"/>
                <w:sz w:val="24"/>
                <w:szCs w:val="24"/>
                <w:highlight w:val="none"/>
              </w:rPr>
            </w:pPr>
            <w:r>
              <w:rPr>
                <w:rFonts w:hint="eastAsia" w:ascii="宋体" w:hAnsi="宋体" w:eastAsia="宋体" w:cs="宋体"/>
                <w:color w:val="auto"/>
                <w:sz w:val="24"/>
                <w:szCs w:val="24"/>
                <w:highlight w:val="none"/>
              </w:rPr>
              <w:t>总价（元/</w:t>
            </w:r>
            <w:r>
              <w:rPr>
                <w:rFonts w:hint="eastAsia" w:ascii="宋体" w:hAnsi="宋体" w:eastAsia="宋体" w:cs="宋体"/>
                <w:color w:val="auto"/>
                <w:sz w:val="24"/>
                <w:szCs w:val="24"/>
                <w:highlight w:val="none"/>
                <w:lang w:val="en-US" w:eastAsia="zh-CN"/>
              </w:rPr>
              <w:t>年</w:t>
            </w:r>
            <w:r>
              <w:rPr>
                <w:rFonts w:hint="eastAsia" w:ascii="宋体" w:hAnsi="宋体" w:eastAsia="宋体" w:cs="宋体"/>
                <w:color w:val="auto"/>
                <w:sz w:val="24"/>
                <w:szCs w:val="24"/>
                <w:highlight w:val="none"/>
              </w:rPr>
              <w:t>）</w:t>
            </w:r>
          </w:p>
        </w:tc>
        <w:tc>
          <w:tcPr>
            <w:tcW w:w="2875" w:type="dxa"/>
            <w:noWrap w:val="0"/>
            <w:vAlign w:val="center"/>
          </w:tcPr>
          <w:p w14:paraId="5E55EA82">
            <w:pPr>
              <w:widowControl/>
              <w:spacing w:line="360" w:lineRule="auto"/>
              <w:jc w:val="center"/>
              <w:rPr>
                <w:rFonts w:ascii="宋体" w:hAnsi="宋体"/>
                <w:color w:val="auto"/>
                <w:kern w:val="0"/>
                <w:sz w:val="24"/>
                <w:szCs w:val="24"/>
                <w:highlight w:val="none"/>
              </w:rPr>
            </w:pPr>
            <w:r>
              <w:rPr>
                <w:rFonts w:hint="eastAsia" w:ascii="宋体" w:hAnsi="宋体"/>
                <w:color w:val="auto"/>
                <w:kern w:val="0"/>
                <w:sz w:val="24"/>
                <w:szCs w:val="24"/>
                <w:highlight w:val="none"/>
                <w:lang w:eastAsia="zh-CN"/>
              </w:rPr>
              <w:t>备注</w:t>
            </w:r>
            <w:r>
              <w:rPr>
                <w:rFonts w:hint="eastAsia" w:ascii="宋体" w:hAnsi="宋体"/>
                <w:color w:val="auto"/>
                <w:kern w:val="0"/>
                <w:sz w:val="24"/>
                <w:szCs w:val="24"/>
                <w:highlight w:val="none"/>
              </w:rPr>
              <w:t xml:space="preserve"> </w:t>
            </w:r>
          </w:p>
        </w:tc>
      </w:tr>
      <w:tr w14:paraId="78FC5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879" w:type="dxa"/>
            <w:noWrap w:val="0"/>
            <w:vAlign w:val="center"/>
          </w:tcPr>
          <w:p w14:paraId="3040D1ED">
            <w:pPr>
              <w:widowControl/>
              <w:spacing w:line="360" w:lineRule="auto"/>
              <w:jc w:val="center"/>
              <w:rPr>
                <w:rFonts w:hint="eastAsia" w:ascii="宋体" w:hAnsi="宋体" w:eastAsia="宋体"/>
                <w:b/>
                <w:color w:val="auto"/>
                <w:kern w:val="0"/>
                <w:sz w:val="24"/>
                <w:szCs w:val="24"/>
                <w:highlight w:val="none"/>
                <w:lang w:eastAsia="zh-CN"/>
              </w:rPr>
            </w:pPr>
            <w:r>
              <w:rPr>
                <w:rFonts w:hint="eastAsia" w:ascii="宋体" w:hAnsi="宋体"/>
                <w:b/>
                <w:color w:val="auto"/>
                <w:kern w:val="0"/>
                <w:sz w:val="24"/>
                <w:szCs w:val="24"/>
                <w:highlight w:val="none"/>
                <w:lang w:eastAsia="zh-CN"/>
              </w:rPr>
              <w:t>一</w:t>
            </w:r>
          </w:p>
        </w:tc>
        <w:tc>
          <w:tcPr>
            <w:tcW w:w="7760" w:type="dxa"/>
            <w:gridSpan w:val="5"/>
            <w:noWrap w:val="0"/>
            <w:vAlign w:val="center"/>
          </w:tcPr>
          <w:p w14:paraId="04B8679D">
            <w:pPr>
              <w:widowControl/>
              <w:spacing w:line="360" w:lineRule="auto"/>
              <w:jc w:val="left"/>
              <w:rPr>
                <w:rFonts w:ascii="宋体" w:hAnsi="宋体"/>
                <w:b/>
                <w:color w:val="auto"/>
                <w:kern w:val="0"/>
                <w:sz w:val="24"/>
                <w:szCs w:val="24"/>
                <w:highlight w:val="none"/>
              </w:rPr>
            </w:pPr>
            <w:r>
              <w:rPr>
                <w:rFonts w:hint="eastAsia" w:ascii="宋体" w:hAnsi="宋体"/>
                <w:b w:val="0"/>
                <w:bCs/>
                <w:color w:val="auto"/>
                <w:kern w:val="0"/>
                <w:sz w:val="24"/>
                <w:szCs w:val="24"/>
                <w:highlight w:val="none"/>
              </w:rPr>
              <w:t>人员工资、社保</w:t>
            </w:r>
            <w:r>
              <w:rPr>
                <w:rFonts w:hint="eastAsia" w:ascii="宋体" w:hAnsi="宋体"/>
                <w:b/>
                <w:color w:val="auto"/>
                <w:kern w:val="0"/>
                <w:sz w:val="24"/>
                <w:szCs w:val="24"/>
                <w:highlight w:val="none"/>
              </w:rPr>
              <w:t xml:space="preserve"> </w:t>
            </w:r>
          </w:p>
        </w:tc>
      </w:tr>
      <w:tr w14:paraId="60597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879" w:type="dxa"/>
            <w:noWrap w:val="0"/>
            <w:vAlign w:val="center"/>
          </w:tcPr>
          <w:p w14:paraId="6468E709">
            <w:pPr>
              <w:widowControl/>
              <w:spacing w:line="360" w:lineRule="auto"/>
              <w:jc w:val="center"/>
              <w:rPr>
                <w:rFonts w:hint="eastAsia" w:ascii="宋体" w:hAnsi="宋体" w:eastAsia="宋体"/>
                <w:color w:val="auto"/>
                <w:kern w:val="0"/>
                <w:sz w:val="24"/>
                <w:szCs w:val="24"/>
                <w:highlight w:val="none"/>
                <w:lang w:val="en-US" w:eastAsia="zh-CN"/>
              </w:rPr>
            </w:pPr>
            <w:r>
              <w:rPr>
                <w:rFonts w:hint="eastAsia" w:ascii="宋体" w:hAnsi="宋体"/>
                <w:color w:val="auto"/>
                <w:kern w:val="0"/>
                <w:sz w:val="24"/>
                <w:szCs w:val="24"/>
                <w:highlight w:val="none"/>
                <w:lang w:val="en-US" w:eastAsia="zh-CN"/>
              </w:rPr>
              <w:t>1</w:t>
            </w:r>
          </w:p>
        </w:tc>
        <w:tc>
          <w:tcPr>
            <w:tcW w:w="1795" w:type="dxa"/>
            <w:noWrap w:val="0"/>
            <w:vAlign w:val="center"/>
          </w:tcPr>
          <w:p w14:paraId="02EC73AD">
            <w:pPr>
              <w:keepNext w:val="0"/>
              <w:keepLines w:val="0"/>
              <w:pageBreakBefore w:val="0"/>
              <w:widowControl/>
              <w:spacing w:after="0" w:line="400" w:lineRule="exact"/>
              <w:jc w:val="center"/>
              <w:rPr>
                <w:rFonts w:ascii="宋体" w:hAnsi="宋体"/>
                <w:color w:val="auto"/>
                <w:kern w:val="0"/>
                <w:sz w:val="24"/>
                <w:szCs w:val="24"/>
                <w:highlight w:val="none"/>
              </w:rPr>
            </w:pPr>
            <w:r>
              <w:rPr>
                <w:rFonts w:hint="eastAsia" w:ascii="宋体" w:hAnsi="宋体" w:eastAsia="宋体" w:cs="宋体"/>
                <w:color w:val="auto"/>
                <w:sz w:val="24"/>
                <w:szCs w:val="24"/>
                <w:highlight w:val="none"/>
              </w:rPr>
              <w:t>项目</w:t>
            </w:r>
            <w:r>
              <w:rPr>
                <w:rFonts w:hint="eastAsia" w:ascii="宋体" w:hAnsi="宋体" w:cs="宋体"/>
                <w:color w:val="auto"/>
                <w:sz w:val="24"/>
                <w:szCs w:val="24"/>
                <w:highlight w:val="none"/>
                <w:lang w:eastAsia="zh-CN"/>
              </w:rPr>
              <w:t>经理</w:t>
            </w:r>
          </w:p>
        </w:tc>
        <w:tc>
          <w:tcPr>
            <w:tcW w:w="761" w:type="dxa"/>
            <w:noWrap w:val="0"/>
            <w:vAlign w:val="center"/>
          </w:tcPr>
          <w:p w14:paraId="139AE6FD">
            <w:pPr>
              <w:keepNext w:val="0"/>
              <w:keepLines w:val="0"/>
              <w:pageBreakBefore w:val="0"/>
              <w:widowControl/>
              <w:spacing w:after="0" w:line="400" w:lineRule="exact"/>
              <w:jc w:val="center"/>
              <w:rPr>
                <w:rFonts w:ascii="宋体" w:hAnsi="宋体"/>
                <w:color w:val="auto"/>
                <w:kern w:val="0"/>
                <w:sz w:val="24"/>
                <w:szCs w:val="24"/>
                <w:highlight w:val="none"/>
              </w:rPr>
            </w:pPr>
            <w:r>
              <w:rPr>
                <w:rFonts w:hint="eastAsia" w:ascii="宋体" w:hAnsi="宋体" w:cs="宋体"/>
                <w:b w:val="0"/>
                <w:bCs/>
                <w:color w:val="auto"/>
                <w:sz w:val="24"/>
                <w:szCs w:val="24"/>
                <w:highlight w:val="none"/>
                <w:lang w:val="en-US" w:eastAsia="zh-CN"/>
              </w:rPr>
              <w:t>1</w:t>
            </w:r>
          </w:p>
        </w:tc>
        <w:tc>
          <w:tcPr>
            <w:tcW w:w="1092" w:type="dxa"/>
            <w:noWrap w:val="0"/>
            <w:vAlign w:val="center"/>
          </w:tcPr>
          <w:p w14:paraId="3EB36DF9">
            <w:pPr>
              <w:keepNext w:val="0"/>
              <w:keepLines w:val="0"/>
              <w:pageBreakBefore w:val="0"/>
              <w:widowControl/>
              <w:spacing w:after="0" w:line="400" w:lineRule="exact"/>
              <w:jc w:val="center"/>
              <w:rPr>
                <w:rFonts w:ascii="宋体" w:hAnsi="宋体"/>
                <w:b w:val="0"/>
                <w:bCs/>
                <w:color w:val="auto"/>
                <w:kern w:val="0"/>
                <w:sz w:val="24"/>
                <w:szCs w:val="24"/>
                <w:highlight w:val="none"/>
              </w:rPr>
            </w:pPr>
          </w:p>
        </w:tc>
        <w:tc>
          <w:tcPr>
            <w:tcW w:w="1237" w:type="dxa"/>
            <w:noWrap w:val="0"/>
            <w:vAlign w:val="center"/>
          </w:tcPr>
          <w:p w14:paraId="3C648CCD">
            <w:pPr>
              <w:widowControl/>
              <w:spacing w:line="360" w:lineRule="auto"/>
              <w:jc w:val="center"/>
              <w:rPr>
                <w:rFonts w:ascii="宋体" w:hAnsi="宋体"/>
                <w:color w:val="auto"/>
                <w:kern w:val="0"/>
                <w:sz w:val="24"/>
                <w:szCs w:val="24"/>
                <w:highlight w:val="none"/>
              </w:rPr>
            </w:pPr>
          </w:p>
        </w:tc>
        <w:tc>
          <w:tcPr>
            <w:tcW w:w="2875" w:type="dxa"/>
            <w:vMerge w:val="restart"/>
            <w:noWrap w:val="0"/>
            <w:vAlign w:val="center"/>
          </w:tcPr>
          <w:p w14:paraId="6F891114">
            <w:pPr>
              <w:widowControl/>
              <w:spacing w:line="360" w:lineRule="auto"/>
              <w:jc w:val="center"/>
              <w:rPr>
                <w:rFonts w:ascii="宋体" w:hAnsi="宋体"/>
                <w:b w:val="0"/>
                <w:bCs w:val="0"/>
                <w:color w:val="auto"/>
                <w:kern w:val="0"/>
                <w:sz w:val="24"/>
                <w:szCs w:val="24"/>
                <w:highlight w:val="none"/>
              </w:rPr>
            </w:pPr>
            <w:r>
              <w:rPr>
                <w:rFonts w:hint="eastAsia" w:ascii="宋体" w:hAnsi="宋体" w:eastAsia="宋体" w:cs="宋体"/>
                <w:b w:val="0"/>
                <w:bCs w:val="0"/>
                <w:color w:val="auto"/>
                <w:sz w:val="24"/>
                <w:szCs w:val="24"/>
                <w:highlight w:val="none"/>
                <w:lang w:val="zh-CN"/>
              </w:rPr>
              <w:t>所有人员工资不低于盐城市最新公布的最低工资标准2</w:t>
            </w:r>
            <w:r>
              <w:rPr>
                <w:rFonts w:hint="eastAsia" w:ascii="宋体" w:hAnsi="宋体" w:cs="宋体"/>
                <w:b w:val="0"/>
                <w:bCs w:val="0"/>
                <w:color w:val="auto"/>
                <w:sz w:val="24"/>
                <w:szCs w:val="24"/>
                <w:highlight w:val="none"/>
                <w:lang w:val="en-US" w:eastAsia="zh-CN"/>
              </w:rPr>
              <w:t>43</w:t>
            </w:r>
            <w:r>
              <w:rPr>
                <w:rFonts w:hint="eastAsia" w:ascii="宋体" w:hAnsi="宋体" w:eastAsia="宋体" w:cs="宋体"/>
                <w:b w:val="0"/>
                <w:bCs w:val="0"/>
                <w:color w:val="auto"/>
                <w:sz w:val="24"/>
                <w:szCs w:val="24"/>
                <w:highlight w:val="none"/>
                <w:lang w:val="zh-CN"/>
              </w:rPr>
              <w:t>0元/人</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zh-CN"/>
              </w:rPr>
              <w:t>月，所提供人员的费用不得低于上述标准进行测算，否则将视为未实质性响应招标文件要求。</w:t>
            </w:r>
          </w:p>
        </w:tc>
      </w:tr>
      <w:tr w14:paraId="0B9ED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879" w:type="dxa"/>
            <w:noWrap w:val="0"/>
            <w:vAlign w:val="center"/>
          </w:tcPr>
          <w:p w14:paraId="78C0EFD9">
            <w:pPr>
              <w:widowControl/>
              <w:spacing w:line="360" w:lineRule="auto"/>
              <w:jc w:val="center"/>
              <w:rPr>
                <w:rFonts w:hint="eastAsia" w:ascii="宋体" w:hAnsi="宋体" w:eastAsia="宋体"/>
                <w:color w:val="auto"/>
                <w:kern w:val="0"/>
                <w:sz w:val="24"/>
                <w:szCs w:val="24"/>
                <w:highlight w:val="none"/>
                <w:lang w:val="en-US" w:eastAsia="zh-CN"/>
              </w:rPr>
            </w:pPr>
            <w:r>
              <w:rPr>
                <w:rFonts w:hint="eastAsia" w:ascii="宋体" w:hAnsi="宋体"/>
                <w:color w:val="auto"/>
                <w:kern w:val="0"/>
                <w:sz w:val="24"/>
                <w:szCs w:val="24"/>
                <w:highlight w:val="none"/>
                <w:lang w:val="en-US" w:eastAsia="zh-CN"/>
              </w:rPr>
              <w:t>2</w:t>
            </w:r>
          </w:p>
        </w:tc>
        <w:tc>
          <w:tcPr>
            <w:tcW w:w="1795" w:type="dxa"/>
            <w:noWrap w:val="0"/>
            <w:vAlign w:val="center"/>
          </w:tcPr>
          <w:p w14:paraId="014E30C9">
            <w:pPr>
              <w:keepNext w:val="0"/>
              <w:keepLines w:val="0"/>
              <w:pageBreakBefore w:val="0"/>
              <w:widowControl/>
              <w:spacing w:after="0" w:line="400" w:lineRule="exact"/>
              <w:jc w:val="center"/>
              <w:rPr>
                <w:rFonts w:hint="eastAsia" w:ascii="宋体" w:hAnsi="宋体" w:eastAsia="宋体"/>
                <w:color w:val="auto"/>
                <w:kern w:val="0"/>
                <w:sz w:val="24"/>
                <w:szCs w:val="24"/>
                <w:highlight w:val="none"/>
                <w:lang w:eastAsia="zh-CN"/>
              </w:rPr>
            </w:pPr>
            <w:r>
              <w:rPr>
                <w:rFonts w:hint="eastAsia" w:ascii="宋体" w:hAnsi="宋体" w:cs="宋体"/>
                <w:color w:val="auto"/>
                <w:sz w:val="24"/>
                <w:szCs w:val="24"/>
                <w:highlight w:val="none"/>
                <w:lang w:eastAsia="zh-CN"/>
              </w:rPr>
              <w:t>厨师长</w:t>
            </w:r>
          </w:p>
        </w:tc>
        <w:tc>
          <w:tcPr>
            <w:tcW w:w="761" w:type="dxa"/>
            <w:noWrap w:val="0"/>
            <w:vAlign w:val="center"/>
          </w:tcPr>
          <w:p w14:paraId="007698F9">
            <w:pPr>
              <w:keepNext w:val="0"/>
              <w:keepLines w:val="0"/>
              <w:pageBreakBefore w:val="0"/>
              <w:widowControl/>
              <w:spacing w:after="0" w:line="400" w:lineRule="exact"/>
              <w:jc w:val="center"/>
              <w:rPr>
                <w:rFonts w:ascii="宋体" w:hAnsi="宋体"/>
                <w:color w:val="auto"/>
                <w:kern w:val="0"/>
                <w:sz w:val="24"/>
                <w:szCs w:val="24"/>
                <w:highlight w:val="none"/>
              </w:rPr>
            </w:pPr>
            <w:r>
              <w:rPr>
                <w:rFonts w:hint="eastAsia" w:ascii="宋体" w:hAnsi="宋体" w:cs="宋体"/>
                <w:b w:val="0"/>
                <w:bCs/>
                <w:color w:val="auto"/>
                <w:sz w:val="24"/>
                <w:szCs w:val="24"/>
                <w:highlight w:val="none"/>
                <w:lang w:val="en-US" w:eastAsia="zh-CN"/>
              </w:rPr>
              <w:t>1</w:t>
            </w:r>
          </w:p>
        </w:tc>
        <w:tc>
          <w:tcPr>
            <w:tcW w:w="1092" w:type="dxa"/>
            <w:noWrap w:val="0"/>
            <w:vAlign w:val="center"/>
          </w:tcPr>
          <w:p w14:paraId="54BAF183">
            <w:pPr>
              <w:keepNext w:val="0"/>
              <w:keepLines w:val="0"/>
              <w:pageBreakBefore w:val="0"/>
              <w:widowControl/>
              <w:spacing w:after="0" w:line="400" w:lineRule="exact"/>
              <w:jc w:val="center"/>
              <w:rPr>
                <w:rFonts w:ascii="宋体" w:hAnsi="宋体"/>
                <w:b w:val="0"/>
                <w:bCs/>
                <w:color w:val="auto"/>
                <w:kern w:val="0"/>
                <w:sz w:val="24"/>
                <w:szCs w:val="24"/>
                <w:highlight w:val="none"/>
              </w:rPr>
            </w:pPr>
          </w:p>
        </w:tc>
        <w:tc>
          <w:tcPr>
            <w:tcW w:w="1237" w:type="dxa"/>
            <w:noWrap w:val="0"/>
            <w:vAlign w:val="center"/>
          </w:tcPr>
          <w:p w14:paraId="4CE6742C">
            <w:pPr>
              <w:widowControl/>
              <w:spacing w:line="360" w:lineRule="auto"/>
              <w:jc w:val="center"/>
              <w:rPr>
                <w:rFonts w:ascii="宋体" w:hAnsi="宋体"/>
                <w:color w:val="auto"/>
                <w:kern w:val="0"/>
                <w:sz w:val="24"/>
                <w:szCs w:val="24"/>
                <w:highlight w:val="none"/>
              </w:rPr>
            </w:pPr>
          </w:p>
        </w:tc>
        <w:tc>
          <w:tcPr>
            <w:tcW w:w="2875" w:type="dxa"/>
            <w:vMerge w:val="continue"/>
            <w:noWrap w:val="0"/>
            <w:vAlign w:val="center"/>
          </w:tcPr>
          <w:p w14:paraId="4F17B109">
            <w:pPr>
              <w:widowControl/>
              <w:spacing w:line="360" w:lineRule="auto"/>
              <w:jc w:val="center"/>
              <w:rPr>
                <w:rFonts w:ascii="宋体" w:hAnsi="宋体"/>
                <w:b w:val="0"/>
                <w:bCs w:val="0"/>
                <w:color w:val="auto"/>
                <w:kern w:val="0"/>
                <w:sz w:val="24"/>
                <w:szCs w:val="24"/>
                <w:highlight w:val="none"/>
              </w:rPr>
            </w:pPr>
          </w:p>
        </w:tc>
      </w:tr>
      <w:tr w14:paraId="141FF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879" w:type="dxa"/>
            <w:noWrap w:val="0"/>
            <w:vAlign w:val="center"/>
          </w:tcPr>
          <w:p w14:paraId="3250CC22">
            <w:pPr>
              <w:widowControl/>
              <w:spacing w:line="360" w:lineRule="auto"/>
              <w:jc w:val="center"/>
              <w:rPr>
                <w:rFonts w:hint="eastAsia" w:ascii="宋体" w:hAnsi="宋体" w:eastAsia="宋体" w:cs="Times New Roman"/>
                <w:color w:val="auto"/>
                <w:kern w:val="0"/>
                <w:sz w:val="24"/>
                <w:szCs w:val="24"/>
                <w:highlight w:val="none"/>
                <w:lang w:val="en-US" w:eastAsia="zh-CN" w:bidi="ar-SA"/>
              </w:rPr>
            </w:pPr>
            <w:r>
              <w:rPr>
                <w:rFonts w:hint="eastAsia" w:ascii="宋体" w:hAnsi="宋体"/>
                <w:color w:val="auto"/>
                <w:kern w:val="0"/>
                <w:sz w:val="24"/>
                <w:szCs w:val="24"/>
                <w:highlight w:val="none"/>
                <w:lang w:val="en-US" w:eastAsia="zh-CN"/>
              </w:rPr>
              <w:t>3</w:t>
            </w:r>
          </w:p>
        </w:tc>
        <w:tc>
          <w:tcPr>
            <w:tcW w:w="1795" w:type="dxa"/>
            <w:noWrap w:val="0"/>
            <w:vAlign w:val="center"/>
          </w:tcPr>
          <w:p w14:paraId="70F3DD0C">
            <w:pPr>
              <w:keepNext w:val="0"/>
              <w:keepLines w:val="0"/>
              <w:pageBreakBefore w:val="0"/>
              <w:widowControl/>
              <w:spacing w:after="0" w:line="400" w:lineRule="exact"/>
              <w:jc w:val="center"/>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宋体"/>
                <w:color w:val="auto"/>
                <w:sz w:val="24"/>
                <w:szCs w:val="24"/>
                <w:highlight w:val="none"/>
                <w:lang w:eastAsia="zh-CN"/>
              </w:rPr>
              <w:t>厨师</w:t>
            </w:r>
          </w:p>
        </w:tc>
        <w:tc>
          <w:tcPr>
            <w:tcW w:w="761" w:type="dxa"/>
            <w:noWrap w:val="0"/>
            <w:vAlign w:val="center"/>
          </w:tcPr>
          <w:p w14:paraId="42D50235">
            <w:pPr>
              <w:keepNext w:val="0"/>
              <w:keepLines w:val="0"/>
              <w:pageBreakBefore w:val="0"/>
              <w:widowControl/>
              <w:spacing w:after="0" w:line="400" w:lineRule="exact"/>
              <w:jc w:val="center"/>
              <w:rPr>
                <w:rFonts w:ascii="宋体" w:hAnsi="宋体" w:eastAsia="宋体" w:cs="Times New Roman"/>
                <w:color w:val="auto"/>
                <w:kern w:val="0"/>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4</w:t>
            </w:r>
          </w:p>
        </w:tc>
        <w:tc>
          <w:tcPr>
            <w:tcW w:w="1092" w:type="dxa"/>
            <w:noWrap w:val="0"/>
            <w:vAlign w:val="center"/>
          </w:tcPr>
          <w:p w14:paraId="7501DD60">
            <w:pPr>
              <w:keepNext w:val="0"/>
              <w:keepLines w:val="0"/>
              <w:pageBreakBefore w:val="0"/>
              <w:widowControl/>
              <w:spacing w:after="0" w:line="400" w:lineRule="exact"/>
              <w:jc w:val="center"/>
              <w:rPr>
                <w:rFonts w:ascii="宋体" w:hAnsi="宋体"/>
                <w:b w:val="0"/>
                <w:bCs/>
                <w:color w:val="auto"/>
                <w:kern w:val="0"/>
                <w:sz w:val="24"/>
                <w:szCs w:val="24"/>
                <w:highlight w:val="none"/>
              </w:rPr>
            </w:pPr>
          </w:p>
        </w:tc>
        <w:tc>
          <w:tcPr>
            <w:tcW w:w="1237" w:type="dxa"/>
            <w:noWrap w:val="0"/>
            <w:vAlign w:val="center"/>
          </w:tcPr>
          <w:p w14:paraId="7390380A">
            <w:pPr>
              <w:widowControl/>
              <w:spacing w:line="360" w:lineRule="auto"/>
              <w:jc w:val="center"/>
              <w:rPr>
                <w:rFonts w:ascii="宋体" w:hAnsi="宋体"/>
                <w:color w:val="auto"/>
                <w:kern w:val="0"/>
                <w:sz w:val="24"/>
                <w:szCs w:val="24"/>
                <w:highlight w:val="none"/>
              </w:rPr>
            </w:pPr>
          </w:p>
        </w:tc>
        <w:tc>
          <w:tcPr>
            <w:tcW w:w="2875" w:type="dxa"/>
            <w:vMerge w:val="continue"/>
            <w:noWrap w:val="0"/>
            <w:vAlign w:val="center"/>
          </w:tcPr>
          <w:p w14:paraId="11C477E7">
            <w:pPr>
              <w:widowControl/>
              <w:spacing w:line="360" w:lineRule="auto"/>
              <w:jc w:val="center"/>
              <w:rPr>
                <w:rFonts w:ascii="宋体" w:hAnsi="宋体"/>
                <w:b w:val="0"/>
                <w:bCs w:val="0"/>
                <w:color w:val="auto"/>
                <w:kern w:val="0"/>
                <w:sz w:val="24"/>
                <w:szCs w:val="24"/>
                <w:highlight w:val="none"/>
              </w:rPr>
            </w:pPr>
          </w:p>
        </w:tc>
      </w:tr>
      <w:tr w14:paraId="3C8D7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trPr>
        <w:tc>
          <w:tcPr>
            <w:tcW w:w="879" w:type="dxa"/>
            <w:noWrap w:val="0"/>
            <w:vAlign w:val="center"/>
          </w:tcPr>
          <w:p w14:paraId="73801171">
            <w:pPr>
              <w:widowControl/>
              <w:spacing w:line="360" w:lineRule="auto"/>
              <w:jc w:val="center"/>
              <w:rPr>
                <w:rFonts w:hint="eastAsia" w:ascii="宋体" w:hAnsi="宋体" w:eastAsia="宋体" w:cs="Times New Roman"/>
                <w:color w:val="auto"/>
                <w:kern w:val="0"/>
                <w:sz w:val="24"/>
                <w:szCs w:val="24"/>
                <w:highlight w:val="none"/>
                <w:lang w:val="en-US" w:eastAsia="zh-CN" w:bidi="ar-SA"/>
              </w:rPr>
            </w:pPr>
            <w:r>
              <w:rPr>
                <w:rFonts w:hint="eastAsia" w:ascii="宋体" w:hAnsi="宋体"/>
                <w:color w:val="auto"/>
                <w:kern w:val="0"/>
                <w:sz w:val="24"/>
                <w:szCs w:val="24"/>
                <w:highlight w:val="none"/>
                <w:lang w:val="en-US" w:eastAsia="zh-CN"/>
              </w:rPr>
              <w:t>4</w:t>
            </w:r>
          </w:p>
        </w:tc>
        <w:tc>
          <w:tcPr>
            <w:tcW w:w="1795" w:type="dxa"/>
            <w:noWrap w:val="0"/>
            <w:vAlign w:val="center"/>
          </w:tcPr>
          <w:p w14:paraId="7BAE97A0">
            <w:pPr>
              <w:keepNext w:val="0"/>
              <w:keepLines w:val="0"/>
              <w:pageBreakBefore w:val="0"/>
              <w:widowControl/>
              <w:spacing w:after="0" w:line="400" w:lineRule="exact"/>
              <w:jc w:val="center"/>
              <w:rPr>
                <w:rFonts w:hint="eastAsia" w:ascii="宋体" w:hAnsi="宋体" w:eastAsia="宋体" w:cs="Times New Roman"/>
                <w:color w:val="auto"/>
                <w:kern w:val="0"/>
                <w:sz w:val="24"/>
                <w:szCs w:val="24"/>
                <w:highlight w:val="none"/>
                <w:lang w:val="en-US" w:eastAsia="zh-CN" w:bidi="ar-SA"/>
              </w:rPr>
            </w:pPr>
            <w:r>
              <w:rPr>
                <w:rFonts w:hint="eastAsia" w:ascii="宋体" w:hAnsi="宋体" w:cs="宋体"/>
                <w:color w:val="auto"/>
                <w:sz w:val="24"/>
                <w:szCs w:val="24"/>
                <w:highlight w:val="none"/>
                <w:lang w:eastAsia="zh-CN"/>
              </w:rPr>
              <w:t>服务员</w:t>
            </w:r>
          </w:p>
        </w:tc>
        <w:tc>
          <w:tcPr>
            <w:tcW w:w="761" w:type="dxa"/>
            <w:noWrap w:val="0"/>
            <w:vAlign w:val="center"/>
          </w:tcPr>
          <w:p w14:paraId="4F306C29">
            <w:pPr>
              <w:keepNext w:val="0"/>
              <w:keepLines w:val="0"/>
              <w:pageBreakBefore w:val="0"/>
              <w:widowControl/>
              <w:spacing w:after="0" w:line="400" w:lineRule="exact"/>
              <w:jc w:val="center"/>
              <w:rPr>
                <w:rFonts w:hint="eastAsia" w:ascii="宋体" w:hAnsi="宋体" w:eastAsia="宋体" w:cs="Times New Roman"/>
                <w:color w:val="auto"/>
                <w:kern w:val="0"/>
                <w:sz w:val="24"/>
                <w:szCs w:val="24"/>
                <w:highlight w:val="none"/>
                <w:lang w:val="en-US" w:eastAsia="zh-CN" w:bidi="ar-SA"/>
              </w:rPr>
            </w:pPr>
            <w:r>
              <w:rPr>
                <w:rFonts w:hint="eastAsia" w:ascii="宋体" w:hAnsi="宋体" w:cs="宋体"/>
                <w:b w:val="0"/>
                <w:bCs/>
                <w:color w:val="auto"/>
                <w:sz w:val="24"/>
                <w:szCs w:val="24"/>
                <w:highlight w:val="none"/>
                <w:lang w:val="en-US" w:eastAsia="zh-CN"/>
              </w:rPr>
              <w:t>2</w:t>
            </w:r>
          </w:p>
        </w:tc>
        <w:tc>
          <w:tcPr>
            <w:tcW w:w="1092" w:type="dxa"/>
            <w:noWrap w:val="0"/>
            <w:vAlign w:val="center"/>
          </w:tcPr>
          <w:p w14:paraId="7BD863C2">
            <w:pPr>
              <w:keepNext w:val="0"/>
              <w:keepLines w:val="0"/>
              <w:pageBreakBefore w:val="0"/>
              <w:widowControl/>
              <w:spacing w:after="0" w:line="400" w:lineRule="exact"/>
              <w:jc w:val="center"/>
              <w:rPr>
                <w:rFonts w:ascii="宋体" w:hAnsi="宋体"/>
                <w:b w:val="0"/>
                <w:bCs/>
                <w:color w:val="auto"/>
                <w:kern w:val="0"/>
                <w:sz w:val="24"/>
                <w:szCs w:val="24"/>
                <w:highlight w:val="none"/>
              </w:rPr>
            </w:pPr>
          </w:p>
        </w:tc>
        <w:tc>
          <w:tcPr>
            <w:tcW w:w="1237" w:type="dxa"/>
            <w:noWrap w:val="0"/>
            <w:vAlign w:val="center"/>
          </w:tcPr>
          <w:p w14:paraId="781825BD">
            <w:pPr>
              <w:widowControl/>
              <w:spacing w:line="360" w:lineRule="auto"/>
              <w:jc w:val="center"/>
              <w:rPr>
                <w:rFonts w:ascii="宋体" w:hAnsi="宋体"/>
                <w:color w:val="auto"/>
                <w:kern w:val="0"/>
                <w:sz w:val="24"/>
                <w:szCs w:val="24"/>
                <w:highlight w:val="none"/>
              </w:rPr>
            </w:pPr>
          </w:p>
        </w:tc>
        <w:tc>
          <w:tcPr>
            <w:tcW w:w="2875" w:type="dxa"/>
            <w:vMerge w:val="continue"/>
            <w:noWrap w:val="0"/>
            <w:vAlign w:val="center"/>
          </w:tcPr>
          <w:p w14:paraId="19CF9EF3">
            <w:pPr>
              <w:widowControl/>
              <w:spacing w:line="360" w:lineRule="auto"/>
              <w:jc w:val="center"/>
              <w:rPr>
                <w:rFonts w:ascii="宋体" w:hAnsi="宋体"/>
                <w:b w:val="0"/>
                <w:bCs w:val="0"/>
                <w:color w:val="auto"/>
                <w:kern w:val="0"/>
                <w:sz w:val="24"/>
                <w:szCs w:val="24"/>
                <w:highlight w:val="none"/>
              </w:rPr>
            </w:pPr>
          </w:p>
        </w:tc>
      </w:tr>
      <w:tr w14:paraId="2816F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879" w:type="dxa"/>
            <w:noWrap w:val="0"/>
            <w:vAlign w:val="center"/>
          </w:tcPr>
          <w:p w14:paraId="4D61D382">
            <w:pPr>
              <w:widowControl/>
              <w:spacing w:line="360" w:lineRule="auto"/>
              <w:jc w:val="center"/>
              <w:rPr>
                <w:rFonts w:hint="eastAsia" w:ascii="宋体" w:hAnsi="宋体" w:eastAsia="宋体"/>
                <w:color w:val="auto"/>
                <w:kern w:val="0"/>
                <w:sz w:val="24"/>
                <w:szCs w:val="24"/>
                <w:highlight w:val="none"/>
                <w:lang w:val="en-US" w:eastAsia="zh-CN"/>
              </w:rPr>
            </w:pPr>
            <w:r>
              <w:rPr>
                <w:rFonts w:hint="eastAsia" w:ascii="宋体" w:hAnsi="宋体"/>
                <w:color w:val="auto"/>
                <w:kern w:val="0"/>
                <w:sz w:val="24"/>
                <w:szCs w:val="24"/>
                <w:highlight w:val="none"/>
                <w:lang w:val="en-US" w:eastAsia="zh-CN"/>
              </w:rPr>
              <w:t>5</w:t>
            </w:r>
          </w:p>
        </w:tc>
        <w:tc>
          <w:tcPr>
            <w:tcW w:w="1795" w:type="dxa"/>
            <w:noWrap w:val="0"/>
            <w:vAlign w:val="center"/>
          </w:tcPr>
          <w:p w14:paraId="6BEFE5FB">
            <w:pPr>
              <w:keepNext w:val="0"/>
              <w:keepLines w:val="0"/>
              <w:pageBreakBefore w:val="0"/>
              <w:widowControl/>
              <w:spacing w:after="0" w:line="400" w:lineRule="exact"/>
              <w:jc w:val="center"/>
              <w:rPr>
                <w:rFonts w:ascii="宋体" w:hAnsi="宋体"/>
                <w:color w:val="auto"/>
                <w:kern w:val="0"/>
                <w:sz w:val="24"/>
                <w:szCs w:val="24"/>
                <w:highlight w:val="none"/>
              </w:rPr>
            </w:pPr>
            <w:r>
              <w:rPr>
                <w:rFonts w:hint="eastAsia" w:ascii="宋体" w:hAnsi="宋体" w:cs="宋体"/>
                <w:color w:val="auto"/>
                <w:sz w:val="24"/>
                <w:szCs w:val="24"/>
                <w:highlight w:val="none"/>
                <w:lang w:eastAsia="zh-CN"/>
              </w:rPr>
              <w:t>勤杂工</w:t>
            </w:r>
          </w:p>
        </w:tc>
        <w:tc>
          <w:tcPr>
            <w:tcW w:w="761" w:type="dxa"/>
            <w:noWrap w:val="0"/>
            <w:vAlign w:val="center"/>
          </w:tcPr>
          <w:p w14:paraId="565425D7">
            <w:pPr>
              <w:keepNext w:val="0"/>
              <w:keepLines w:val="0"/>
              <w:pageBreakBefore w:val="0"/>
              <w:widowControl/>
              <w:spacing w:after="0" w:line="400" w:lineRule="exact"/>
              <w:jc w:val="center"/>
              <w:rPr>
                <w:rFonts w:ascii="宋体" w:hAnsi="宋体"/>
                <w:color w:val="auto"/>
                <w:kern w:val="0"/>
                <w:sz w:val="24"/>
                <w:szCs w:val="24"/>
                <w:highlight w:val="none"/>
              </w:rPr>
            </w:pPr>
            <w:r>
              <w:rPr>
                <w:rFonts w:hint="eastAsia" w:ascii="宋体" w:hAnsi="宋体" w:cs="宋体"/>
                <w:b w:val="0"/>
                <w:bCs/>
                <w:color w:val="auto"/>
                <w:sz w:val="24"/>
                <w:szCs w:val="24"/>
                <w:highlight w:val="none"/>
                <w:lang w:val="en-US" w:eastAsia="zh-CN"/>
              </w:rPr>
              <w:t>9</w:t>
            </w:r>
          </w:p>
        </w:tc>
        <w:tc>
          <w:tcPr>
            <w:tcW w:w="1092" w:type="dxa"/>
            <w:noWrap w:val="0"/>
            <w:vAlign w:val="center"/>
          </w:tcPr>
          <w:p w14:paraId="0AAC7A43">
            <w:pPr>
              <w:keepNext w:val="0"/>
              <w:keepLines w:val="0"/>
              <w:pageBreakBefore w:val="0"/>
              <w:widowControl/>
              <w:spacing w:after="0" w:line="400" w:lineRule="exact"/>
              <w:jc w:val="center"/>
              <w:rPr>
                <w:rFonts w:ascii="宋体" w:hAnsi="宋体"/>
                <w:b w:val="0"/>
                <w:bCs/>
                <w:color w:val="auto"/>
                <w:kern w:val="0"/>
                <w:sz w:val="24"/>
                <w:szCs w:val="24"/>
                <w:highlight w:val="none"/>
              </w:rPr>
            </w:pPr>
          </w:p>
        </w:tc>
        <w:tc>
          <w:tcPr>
            <w:tcW w:w="1237" w:type="dxa"/>
            <w:noWrap w:val="0"/>
            <w:vAlign w:val="center"/>
          </w:tcPr>
          <w:p w14:paraId="3939CBD0">
            <w:pPr>
              <w:widowControl/>
              <w:spacing w:line="360" w:lineRule="auto"/>
              <w:jc w:val="center"/>
              <w:rPr>
                <w:rFonts w:ascii="宋体" w:hAnsi="宋体"/>
                <w:color w:val="auto"/>
                <w:kern w:val="0"/>
                <w:sz w:val="24"/>
                <w:szCs w:val="24"/>
                <w:highlight w:val="none"/>
              </w:rPr>
            </w:pPr>
          </w:p>
        </w:tc>
        <w:tc>
          <w:tcPr>
            <w:tcW w:w="2875" w:type="dxa"/>
            <w:vMerge w:val="continue"/>
            <w:noWrap w:val="0"/>
            <w:vAlign w:val="center"/>
          </w:tcPr>
          <w:p w14:paraId="1C3448B9">
            <w:pPr>
              <w:widowControl/>
              <w:spacing w:line="360" w:lineRule="auto"/>
              <w:jc w:val="center"/>
              <w:rPr>
                <w:rFonts w:ascii="宋体" w:hAnsi="宋体"/>
                <w:b w:val="0"/>
                <w:bCs w:val="0"/>
                <w:color w:val="auto"/>
                <w:kern w:val="0"/>
                <w:sz w:val="24"/>
                <w:szCs w:val="24"/>
                <w:highlight w:val="none"/>
              </w:rPr>
            </w:pPr>
          </w:p>
        </w:tc>
      </w:tr>
      <w:tr w14:paraId="26CBF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79" w:type="dxa"/>
            <w:noWrap w:val="0"/>
            <w:vAlign w:val="center"/>
          </w:tcPr>
          <w:p w14:paraId="35720EF9">
            <w:pPr>
              <w:widowControl/>
              <w:spacing w:line="360" w:lineRule="auto"/>
              <w:jc w:val="center"/>
              <w:rPr>
                <w:rFonts w:hint="eastAsia" w:ascii="宋体" w:hAnsi="宋体" w:eastAsia="宋体"/>
                <w:color w:val="auto"/>
                <w:kern w:val="0"/>
                <w:sz w:val="24"/>
                <w:szCs w:val="24"/>
                <w:highlight w:val="none"/>
                <w:lang w:eastAsia="zh-CN"/>
              </w:rPr>
            </w:pPr>
            <w:r>
              <w:rPr>
                <w:rFonts w:hint="eastAsia" w:ascii="宋体" w:hAnsi="宋体"/>
                <w:color w:val="auto"/>
                <w:kern w:val="0"/>
                <w:sz w:val="24"/>
                <w:szCs w:val="24"/>
                <w:highlight w:val="none"/>
                <w:lang w:eastAsia="zh-CN"/>
              </w:rPr>
              <w:t>二</w:t>
            </w:r>
          </w:p>
        </w:tc>
        <w:tc>
          <w:tcPr>
            <w:tcW w:w="1795" w:type="dxa"/>
            <w:noWrap w:val="0"/>
            <w:vAlign w:val="center"/>
          </w:tcPr>
          <w:p w14:paraId="0E73F7DC">
            <w:pPr>
              <w:widowControl/>
              <w:spacing w:line="360" w:lineRule="auto"/>
              <w:jc w:val="center"/>
              <w:rPr>
                <w:rFonts w:ascii="宋体" w:hAnsi="宋体"/>
                <w:color w:val="auto"/>
                <w:kern w:val="0"/>
                <w:sz w:val="24"/>
                <w:szCs w:val="24"/>
                <w:highlight w:val="none"/>
              </w:rPr>
            </w:pPr>
            <w:r>
              <w:rPr>
                <w:rFonts w:ascii="宋体" w:hAnsi="宋体"/>
                <w:color w:val="auto"/>
                <w:kern w:val="0"/>
                <w:sz w:val="24"/>
                <w:szCs w:val="24"/>
                <w:highlight w:val="none"/>
              </w:rPr>
              <w:t>社保</w:t>
            </w:r>
          </w:p>
        </w:tc>
        <w:tc>
          <w:tcPr>
            <w:tcW w:w="761" w:type="dxa"/>
            <w:noWrap w:val="0"/>
            <w:vAlign w:val="center"/>
          </w:tcPr>
          <w:p w14:paraId="7031D68D">
            <w:pPr>
              <w:widowControl/>
              <w:spacing w:line="360" w:lineRule="auto"/>
              <w:jc w:val="center"/>
              <w:rPr>
                <w:rFonts w:hint="default" w:ascii="宋体" w:hAnsi="宋体" w:eastAsia="宋体"/>
                <w:color w:val="auto"/>
                <w:kern w:val="0"/>
                <w:sz w:val="24"/>
                <w:szCs w:val="24"/>
                <w:highlight w:val="none"/>
                <w:lang w:val="en-US" w:eastAsia="zh-CN"/>
              </w:rPr>
            </w:pPr>
            <w:r>
              <w:rPr>
                <w:rFonts w:hint="eastAsia" w:ascii="宋体" w:hAnsi="宋体"/>
                <w:color w:val="auto"/>
                <w:kern w:val="0"/>
                <w:sz w:val="24"/>
                <w:szCs w:val="24"/>
                <w:highlight w:val="none"/>
                <w:lang w:val="en-US" w:eastAsia="zh-CN"/>
              </w:rPr>
              <w:t>17</w:t>
            </w:r>
          </w:p>
        </w:tc>
        <w:tc>
          <w:tcPr>
            <w:tcW w:w="1092" w:type="dxa"/>
            <w:noWrap w:val="0"/>
            <w:vAlign w:val="center"/>
          </w:tcPr>
          <w:p w14:paraId="04A514DC">
            <w:pPr>
              <w:widowControl/>
              <w:spacing w:line="360" w:lineRule="auto"/>
              <w:jc w:val="center"/>
              <w:rPr>
                <w:rFonts w:ascii="宋体" w:hAnsi="宋体"/>
                <w:color w:val="auto"/>
                <w:kern w:val="0"/>
                <w:sz w:val="24"/>
                <w:szCs w:val="24"/>
                <w:highlight w:val="none"/>
              </w:rPr>
            </w:pPr>
          </w:p>
        </w:tc>
        <w:tc>
          <w:tcPr>
            <w:tcW w:w="1237" w:type="dxa"/>
            <w:noWrap w:val="0"/>
            <w:vAlign w:val="center"/>
          </w:tcPr>
          <w:p w14:paraId="01314492">
            <w:pPr>
              <w:widowControl/>
              <w:spacing w:line="360" w:lineRule="auto"/>
              <w:jc w:val="center"/>
              <w:rPr>
                <w:rFonts w:ascii="宋体" w:hAnsi="宋体"/>
                <w:color w:val="auto"/>
                <w:kern w:val="0"/>
                <w:sz w:val="24"/>
                <w:szCs w:val="24"/>
                <w:highlight w:val="none"/>
              </w:rPr>
            </w:pPr>
          </w:p>
        </w:tc>
        <w:tc>
          <w:tcPr>
            <w:tcW w:w="2875" w:type="dxa"/>
            <w:noWrap w:val="0"/>
            <w:vAlign w:val="center"/>
          </w:tcPr>
          <w:p w14:paraId="7309D78B">
            <w:pPr>
              <w:widowControl/>
              <w:spacing w:line="360" w:lineRule="auto"/>
              <w:jc w:val="center"/>
              <w:rPr>
                <w:rFonts w:ascii="宋体" w:hAnsi="宋体"/>
                <w:b w:val="0"/>
                <w:bCs w:val="0"/>
                <w:color w:val="auto"/>
                <w:kern w:val="0"/>
                <w:sz w:val="24"/>
                <w:szCs w:val="24"/>
                <w:highlight w:val="none"/>
              </w:rPr>
            </w:pPr>
            <w:r>
              <w:rPr>
                <w:rFonts w:hint="eastAsia" w:ascii="宋体" w:hAnsi="宋体" w:eastAsia="宋体" w:cs="宋体"/>
                <w:b w:val="0"/>
                <w:bCs w:val="0"/>
                <w:color w:val="auto"/>
                <w:sz w:val="24"/>
                <w:szCs w:val="24"/>
                <w:highlight w:val="none"/>
                <w:lang w:val="zh-CN"/>
              </w:rPr>
              <w:t>社保（企业部分）不得低于</w:t>
            </w:r>
            <w:r>
              <w:rPr>
                <w:rFonts w:hint="eastAsia" w:ascii="宋体" w:hAnsi="宋体" w:eastAsia="宋体" w:cs="宋体"/>
                <w:b w:val="0"/>
                <w:bCs w:val="0"/>
                <w:color w:val="auto"/>
                <w:sz w:val="24"/>
                <w:szCs w:val="24"/>
                <w:highlight w:val="none"/>
              </w:rPr>
              <w:t>1292.47</w:t>
            </w:r>
            <w:r>
              <w:rPr>
                <w:rFonts w:hint="eastAsia" w:ascii="宋体" w:hAnsi="宋体" w:eastAsia="宋体" w:cs="宋体"/>
                <w:b w:val="0"/>
                <w:bCs w:val="0"/>
                <w:color w:val="auto"/>
                <w:sz w:val="24"/>
                <w:szCs w:val="24"/>
                <w:highlight w:val="none"/>
                <w:lang w:val="zh-CN"/>
              </w:rPr>
              <w:t>元/人/月</w:t>
            </w:r>
            <w:r>
              <w:rPr>
                <w:rFonts w:hint="eastAsia" w:ascii="宋体" w:hAnsi="宋体" w:cs="宋体"/>
                <w:b w:val="0"/>
                <w:bCs w:val="0"/>
                <w:color w:val="auto"/>
                <w:sz w:val="24"/>
                <w:szCs w:val="24"/>
                <w:highlight w:val="none"/>
                <w:lang w:val="zh-CN"/>
              </w:rPr>
              <w:t>，</w:t>
            </w:r>
            <w:r>
              <w:rPr>
                <w:rFonts w:hint="eastAsia" w:ascii="宋体" w:hAnsi="宋体" w:eastAsia="宋体" w:cs="宋体"/>
                <w:b w:val="0"/>
                <w:bCs w:val="0"/>
                <w:color w:val="auto"/>
                <w:sz w:val="24"/>
                <w:szCs w:val="24"/>
                <w:highlight w:val="none"/>
              </w:rPr>
              <w:t>否则将视为未实质性响应招标文件要求。</w:t>
            </w:r>
          </w:p>
        </w:tc>
      </w:tr>
      <w:tr w14:paraId="07507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79" w:type="dxa"/>
            <w:noWrap w:val="0"/>
            <w:vAlign w:val="center"/>
          </w:tcPr>
          <w:p w14:paraId="2FAE20EF">
            <w:pPr>
              <w:widowControl/>
              <w:spacing w:line="360" w:lineRule="auto"/>
              <w:jc w:val="center"/>
              <w:rPr>
                <w:rFonts w:hint="eastAsia" w:ascii="宋体" w:hAnsi="宋体"/>
                <w:color w:val="auto"/>
                <w:kern w:val="0"/>
                <w:sz w:val="24"/>
                <w:szCs w:val="24"/>
                <w:highlight w:val="none"/>
                <w:lang w:eastAsia="zh-CN"/>
              </w:rPr>
            </w:pPr>
            <w:r>
              <w:rPr>
                <w:rFonts w:hint="eastAsia" w:ascii="宋体" w:hAnsi="宋体"/>
                <w:color w:val="auto"/>
                <w:kern w:val="0"/>
                <w:sz w:val="24"/>
                <w:szCs w:val="24"/>
                <w:highlight w:val="none"/>
                <w:lang w:eastAsia="zh-CN"/>
              </w:rPr>
              <w:t>三</w:t>
            </w:r>
          </w:p>
        </w:tc>
        <w:tc>
          <w:tcPr>
            <w:tcW w:w="1795" w:type="dxa"/>
            <w:noWrap w:val="0"/>
            <w:vAlign w:val="center"/>
          </w:tcPr>
          <w:p w14:paraId="0FE08DF5">
            <w:pPr>
              <w:widowControl/>
              <w:spacing w:line="360" w:lineRule="auto"/>
              <w:jc w:val="center"/>
              <w:rPr>
                <w:rFonts w:hint="eastAsia" w:ascii="宋体" w:hAnsi="宋体" w:eastAsiaTheme="minorEastAsia"/>
                <w:color w:val="auto"/>
                <w:kern w:val="0"/>
                <w:sz w:val="24"/>
                <w:szCs w:val="24"/>
                <w:highlight w:val="none"/>
                <w:lang w:val="en-US" w:eastAsia="zh-CN"/>
              </w:rPr>
            </w:pPr>
            <w:r>
              <w:rPr>
                <w:rFonts w:hint="eastAsia" w:ascii="宋体" w:hAnsi="宋体"/>
                <w:color w:val="auto"/>
                <w:kern w:val="0"/>
                <w:sz w:val="24"/>
                <w:szCs w:val="24"/>
                <w:highlight w:val="none"/>
                <w:lang w:val="en-US" w:eastAsia="zh-CN"/>
              </w:rPr>
              <w:t>公积金</w:t>
            </w:r>
          </w:p>
        </w:tc>
        <w:tc>
          <w:tcPr>
            <w:tcW w:w="761" w:type="dxa"/>
            <w:noWrap w:val="0"/>
            <w:vAlign w:val="center"/>
          </w:tcPr>
          <w:p w14:paraId="2C50123B">
            <w:pPr>
              <w:widowControl/>
              <w:spacing w:line="360" w:lineRule="auto"/>
              <w:jc w:val="center"/>
              <w:rPr>
                <w:rFonts w:hint="default" w:ascii="宋体" w:hAnsi="宋体"/>
                <w:color w:val="auto"/>
                <w:kern w:val="0"/>
                <w:sz w:val="24"/>
                <w:szCs w:val="24"/>
                <w:highlight w:val="none"/>
                <w:lang w:val="en-US" w:eastAsia="zh-CN"/>
              </w:rPr>
            </w:pPr>
            <w:r>
              <w:rPr>
                <w:rFonts w:hint="eastAsia" w:ascii="宋体" w:hAnsi="宋体"/>
                <w:color w:val="auto"/>
                <w:kern w:val="0"/>
                <w:sz w:val="24"/>
                <w:szCs w:val="24"/>
                <w:highlight w:val="none"/>
                <w:lang w:val="en-US" w:eastAsia="zh-CN"/>
              </w:rPr>
              <w:t>17</w:t>
            </w:r>
          </w:p>
        </w:tc>
        <w:tc>
          <w:tcPr>
            <w:tcW w:w="1092" w:type="dxa"/>
            <w:noWrap w:val="0"/>
            <w:vAlign w:val="center"/>
          </w:tcPr>
          <w:p w14:paraId="6DC01247">
            <w:pPr>
              <w:widowControl/>
              <w:spacing w:line="360" w:lineRule="auto"/>
              <w:jc w:val="center"/>
              <w:rPr>
                <w:rFonts w:ascii="宋体" w:hAnsi="宋体"/>
                <w:color w:val="auto"/>
                <w:kern w:val="0"/>
                <w:sz w:val="24"/>
                <w:szCs w:val="24"/>
                <w:highlight w:val="none"/>
              </w:rPr>
            </w:pPr>
          </w:p>
        </w:tc>
        <w:tc>
          <w:tcPr>
            <w:tcW w:w="1237" w:type="dxa"/>
            <w:noWrap w:val="0"/>
            <w:vAlign w:val="center"/>
          </w:tcPr>
          <w:p w14:paraId="3920EE91">
            <w:pPr>
              <w:widowControl/>
              <w:spacing w:line="360" w:lineRule="auto"/>
              <w:jc w:val="center"/>
              <w:rPr>
                <w:rFonts w:ascii="宋体" w:hAnsi="宋体"/>
                <w:color w:val="auto"/>
                <w:kern w:val="0"/>
                <w:sz w:val="24"/>
                <w:szCs w:val="24"/>
                <w:highlight w:val="none"/>
              </w:rPr>
            </w:pPr>
          </w:p>
        </w:tc>
        <w:tc>
          <w:tcPr>
            <w:tcW w:w="2875" w:type="dxa"/>
            <w:noWrap w:val="0"/>
            <w:vAlign w:val="center"/>
          </w:tcPr>
          <w:p w14:paraId="1DBB25FF">
            <w:pPr>
              <w:widowControl/>
              <w:spacing w:line="360" w:lineRule="auto"/>
              <w:jc w:val="center"/>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lang w:val="zh-CN" w:eastAsia="zh-CN"/>
              </w:rPr>
              <w:t>住房公积金不得低于</w:t>
            </w:r>
            <w:r>
              <w:rPr>
                <w:rFonts w:hint="eastAsia" w:ascii="宋体" w:hAnsi="宋体" w:eastAsia="宋体" w:cs="宋体"/>
                <w:b w:val="0"/>
                <w:bCs w:val="0"/>
                <w:color w:val="auto"/>
                <w:sz w:val="24"/>
                <w:szCs w:val="24"/>
                <w:highlight w:val="none"/>
                <w:lang w:val="en-US" w:eastAsia="zh-CN"/>
              </w:rPr>
              <w:t>122元</w:t>
            </w:r>
            <w:r>
              <w:rPr>
                <w:rFonts w:hint="eastAsia" w:ascii="宋体" w:hAnsi="宋体" w:eastAsia="宋体" w:cs="宋体"/>
                <w:b w:val="0"/>
                <w:bCs w:val="0"/>
                <w:color w:val="auto"/>
                <w:sz w:val="24"/>
                <w:szCs w:val="24"/>
                <w:highlight w:val="none"/>
                <w:lang w:val="zh-CN" w:eastAsia="zh-CN"/>
              </w:rPr>
              <w:t>/人/月</w:t>
            </w:r>
          </w:p>
        </w:tc>
      </w:tr>
      <w:tr w14:paraId="33348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79" w:type="dxa"/>
            <w:noWrap w:val="0"/>
            <w:vAlign w:val="center"/>
          </w:tcPr>
          <w:p w14:paraId="1ADAF921">
            <w:pPr>
              <w:widowControl/>
              <w:spacing w:line="360" w:lineRule="auto"/>
              <w:jc w:val="center"/>
              <w:rPr>
                <w:rFonts w:hint="eastAsia" w:ascii="宋体" w:hAnsi="宋体"/>
                <w:color w:val="auto"/>
                <w:kern w:val="0"/>
                <w:sz w:val="24"/>
                <w:szCs w:val="24"/>
                <w:highlight w:val="none"/>
                <w:lang w:eastAsia="zh-CN"/>
              </w:rPr>
            </w:pPr>
            <w:r>
              <w:rPr>
                <w:rFonts w:hint="eastAsia" w:ascii="宋体" w:hAnsi="宋体"/>
                <w:color w:val="auto"/>
                <w:kern w:val="0"/>
                <w:sz w:val="24"/>
                <w:szCs w:val="24"/>
                <w:highlight w:val="none"/>
                <w:lang w:eastAsia="zh-CN"/>
              </w:rPr>
              <w:t>四</w:t>
            </w:r>
          </w:p>
        </w:tc>
        <w:tc>
          <w:tcPr>
            <w:tcW w:w="1795" w:type="dxa"/>
            <w:noWrap w:val="0"/>
            <w:vAlign w:val="center"/>
          </w:tcPr>
          <w:p w14:paraId="233738A3">
            <w:pPr>
              <w:widowControl/>
              <w:spacing w:line="360" w:lineRule="auto"/>
              <w:jc w:val="center"/>
              <w:rPr>
                <w:rFonts w:hint="eastAsia" w:ascii="宋体" w:hAnsi="宋体" w:eastAsiaTheme="minorEastAsia"/>
                <w:color w:val="auto"/>
                <w:kern w:val="0"/>
                <w:sz w:val="24"/>
                <w:szCs w:val="24"/>
                <w:highlight w:val="none"/>
                <w:lang w:eastAsia="zh-CN"/>
              </w:rPr>
            </w:pPr>
            <w:r>
              <w:rPr>
                <w:rFonts w:hint="eastAsia" w:ascii="宋体" w:hAnsi="宋体"/>
                <w:color w:val="auto"/>
                <w:kern w:val="0"/>
                <w:sz w:val="24"/>
                <w:szCs w:val="24"/>
                <w:highlight w:val="none"/>
                <w:lang w:eastAsia="zh-CN"/>
              </w:rPr>
              <w:t>国假加班费</w:t>
            </w:r>
          </w:p>
        </w:tc>
        <w:tc>
          <w:tcPr>
            <w:tcW w:w="761" w:type="dxa"/>
            <w:noWrap w:val="0"/>
            <w:vAlign w:val="center"/>
          </w:tcPr>
          <w:p w14:paraId="0287FBC5">
            <w:pPr>
              <w:widowControl/>
              <w:spacing w:line="360" w:lineRule="auto"/>
              <w:jc w:val="center"/>
              <w:rPr>
                <w:rFonts w:hint="default" w:ascii="宋体" w:hAnsi="宋体"/>
                <w:color w:val="auto"/>
                <w:kern w:val="0"/>
                <w:sz w:val="24"/>
                <w:szCs w:val="24"/>
                <w:highlight w:val="none"/>
                <w:lang w:val="en-US" w:eastAsia="zh-CN"/>
              </w:rPr>
            </w:pPr>
            <w:r>
              <w:rPr>
                <w:rFonts w:hint="eastAsia" w:ascii="宋体" w:hAnsi="宋体"/>
                <w:color w:val="auto"/>
                <w:kern w:val="0"/>
                <w:sz w:val="24"/>
                <w:szCs w:val="24"/>
                <w:highlight w:val="none"/>
                <w:lang w:val="en-US" w:eastAsia="zh-CN"/>
              </w:rPr>
              <w:t>17</w:t>
            </w:r>
          </w:p>
        </w:tc>
        <w:tc>
          <w:tcPr>
            <w:tcW w:w="1092" w:type="dxa"/>
            <w:noWrap w:val="0"/>
            <w:vAlign w:val="center"/>
          </w:tcPr>
          <w:p w14:paraId="113D1A41">
            <w:pPr>
              <w:widowControl/>
              <w:spacing w:line="360" w:lineRule="auto"/>
              <w:jc w:val="center"/>
              <w:rPr>
                <w:rFonts w:ascii="宋体" w:hAnsi="宋体"/>
                <w:color w:val="auto"/>
                <w:kern w:val="0"/>
                <w:sz w:val="24"/>
                <w:szCs w:val="24"/>
                <w:highlight w:val="none"/>
              </w:rPr>
            </w:pPr>
          </w:p>
        </w:tc>
        <w:tc>
          <w:tcPr>
            <w:tcW w:w="1237" w:type="dxa"/>
            <w:noWrap w:val="0"/>
            <w:vAlign w:val="center"/>
          </w:tcPr>
          <w:p w14:paraId="1782D6E1">
            <w:pPr>
              <w:widowControl/>
              <w:spacing w:line="360" w:lineRule="auto"/>
              <w:jc w:val="center"/>
              <w:rPr>
                <w:rFonts w:ascii="宋体" w:hAnsi="宋体"/>
                <w:color w:val="auto"/>
                <w:kern w:val="0"/>
                <w:sz w:val="24"/>
                <w:szCs w:val="24"/>
                <w:highlight w:val="none"/>
              </w:rPr>
            </w:pPr>
          </w:p>
        </w:tc>
        <w:tc>
          <w:tcPr>
            <w:tcW w:w="2875" w:type="dxa"/>
            <w:noWrap w:val="0"/>
            <w:vAlign w:val="center"/>
          </w:tcPr>
          <w:p w14:paraId="43F693EC">
            <w:pPr>
              <w:widowControl/>
              <w:spacing w:line="360" w:lineRule="auto"/>
              <w:jc w:val="center"/>
              <w:rPr>
                <w:rFonts w:hint="default" w:ascii="宋体" w:hAnsi="宋体" w:eastAsia="宋体" w:cs="宋体"/>
                <w:b w:val="0"/>
                <w:bCs w:val="0"/>
                <w:color w:val="auto"/>
                <w:sz w:val="24"/>
                <w:szCs w:val="24"/>
                <w:highlight w:val="none"/>
                <w:lang w:val="en-US"/>
              </w:rPr>
            </w:pPr>
            <w:r>
              <w:rPr>
                <w:rFonts w:hint="eastAsia" w:ascii="宋体" w:hAnsi="宋体"/>
                <w:color w:val="auto"/>
                <w:kern w:val="0"/>
                <w:sz w:val="24"/>
                <w:szCs w:val="24"/>
                <w:highlight w:val="none"/>
                <w:lang w:eastAsia="zh-CN"/>
              </w:rPr>
              <w:t>国假加班费不低于</w:t>
            </w:r>
            <w:r>
              <w:rPr>
                <w:rFonts w:hint="eastAsia" w:ascii="宋体" w:hAnsi="宋体"/>
                <w:color w:val="auto"/>
                <w:kern w:val="0"/>
                <w:sz w:val="24"/>
                <w:szCs w:val="24"/>
                <w:highlight w:val="none"/>
                <w:lang w:val="en-US" w:eastAsia="zh-CN"/>
              </w:rPr>
              <w:t>4357.25元/人/年</w:t>
            </w:r>
          </w:p>
        </w:tc>
      </w:tr>
      <w:tr w14:paraId="5BE5A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79" w:type="dxa"/>
            <w:noWrap w:val="0"/>
            <w:vAlign w:val="center"/>
          </w:tcPr>
          <w:p w14:paraId="415AC871">
            <w:pPr>
              <w:widowControl/>
              <w:spacing w:line="360" w:lineRule="auto"/>
              <w:jc w:val="center"/>
              <w:rPr>
                <w:rFonts w:hint="default" w:ascii="宋体" w:hAnsi="宋体" w:eastAsia="宋体"/>
                <w:b/>
                <w:color w:val="auto"/>
                <w:kern w:val="0"/>
                <w:sz w:val="24"/>
                <w:szCs w:val="24"/>
                <w:highlight w:val="none"/>
                <w:lang w:val="en-US" w:eastAsia="zh-CN"/>
              </w:rPr>
            </w:pPr>
            <w:r>
              <w:rPr>
                <w:rFonts w:hint="eastAsia" w:ascii="宋体" w:hAnsi="宋体" w:eastAsia="宋体"/>
                <w:b w:val="0"/>
                <w:bCs/>
                <w:color w:val="auto"/>
                <w:kern w:val="0"/>
                <w:sz w:val="24"/>
                <w:szCs w:val="24"/>
                <w:highlight w:val="none"/>
                <w:lang w:val="en-US" w:eastAsia="zh-CN"/>
              </w:rPr>
              <w:t>五</w:t>
            </w:r>
          </w:p>
        </w:tc>
        <w:tc>
          <w:tcPr>
            <w:tcW w:w="7760" w:type="dxa"/>
            <w:gridSpan w:val="5"/>
            <w:noWrap w:val="0"/>
            <w:vAlign w:val="center"/>
          </w:tcPr>
          <w:p w14:paraId="182C048A">
            <w:pPr>
              <w:widowControl/>
              <w:spacing w:line="360" w:lineRule="auto"/>
              <w:jc w:val="both"/>
              <w:rPr>
                <w:rFonts w:ascii="宋体" w:hAnsi="宋体"/>
                <w:b w:val="0"/>
                <w:bCs w:val="0"/>
                <w:color w:val="auto"/>
                <w:kern w:val="0"/>
                <w:sz w:val="24"/>
                <w:szCs w:val="24"/>
                <w:highlight w:val="none"/>
              </w:rPr>
            </w:pPr>
            <w:r>
              <w:rPr>
                <w:rFonts w:hint="eastAsia" w:ascii="宋体" w:hAnsi="宋体"/>
                <w:b w:val="0"/>
                <w:bCs/>
                <w:color w:val="auto"/>
                <w:kern w:val="0"/>
                <w:sz w:val="24"/>
                <w:szCs w:val="24"/>
                <w:highlight w:val="none"/>
              </w:rPr>
              <w:t>综合管理杂费</w:t>
            </w:r>
          </w:p>
        </w:tc>
      </w:tr>
      <w:tr w14:paraId="4960B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879" w:type="dxa"/>
            <w:noWrap w:val="0"/>
            <w:vAlign w:val="center"/>
          </w:tcPr>
          <w:p w14:paraId="0F0C343B">
            <w:pPr>
              <w:widowControl/>
              <w:spacing w:line="360" w:lineRule="auto"/>
              <w:jc w:val="center"/>
              <w:rPr>
                <w:rFonts w:hint="eastAsia" w:ascii="宋体" w:hAnsi="宋体" w:eastAsia="宋体"/>
                <w:b/>
                <w:color w:val="auto"/>
                <w:kern w:val="0"/>
                <w:sz w:val="24"/>
                <w:szCs w:val="24"/>
                <w:highlight w:val="none"/>
                <w:lang w:val="en-US" w:eastAsia="zh-CN"/>
              </w:rPr>
            </w:pPr>
            <w:r>
              <w:rPr>
                <w:rFonts w:hint="eastAsia" w:ascii="宋体" w:hAnsi="宋体"/>
                <w:b/>
                <w:color w:val="auto"/>
                <w:kern w:val="0"/>
                <w:sz w:val="24"/>
                <w:szCs w:val="24"/>
                <w:highlight w:val="none"/>
                <w:lang w:val="en-US" w:eastAsia="zh-CN"/>
              </w:rPr>
              <w:t>1</w:t>
            </w:r>
          </w:p>
        </w:tc>
        <w:tc>
          <w:tcPr>
            <w:tcW w:w="1795" w:type="dxa"/>
            <w:noWrap w:val="0"/>
            <w:vAlign w:val="center"/>
          </w:tcPr>
          <w:p w14:paraId="30FB9733">
            <w:pPr>
              <w:widowControl/>
              <w:spacing w:line="360" w:lineRule="auto"/>
              <w:jc w:val="left"/>
              <w:rPr>
                <w:rFonts w:hint="eastAsia" w:ascii="宋体" w:hAnsi="宋体" w:eastAsia="宋体"/>
                <w:b w:val="0"/>
                <w:bCs/>
                <w:color w:val="auto"/>
                <w:kern w:val="0"/>
                <w:sz w:val="24"/>
                <w:szCs w:val="24"/>
                <w:highlight w:val="none"/>
                <w:lang w:eastAsia="zh-CN"/>
              </w:rPr>
            </w:pPr>
            <w:r>
              <w:rPr>
                <w:rFonts w:hint="eastAsia" w:ascii="宋体" w:hAnsi="宋体"/>
                <w:b w:val="0"/>
                <w:bCs/>
                <w:color w:val="auto"/>
                <w:kern w:val="0"/>
                <w:sz w:val="24"/>
                <w:szCs w:val="24"/>
                <w:highlight w:val="none"/>
                <w:lang w:eastAsia="zh-CN"/>
              </w:rPr>
              <w:t>服装费</w:t>
            </w:r>
          </w:p>
        </w:tc>
        <w:tc>
          <w:tcPr>
            <w:tcW w:w="761" w:type="dxa"/>
            <w:noWrap w:val="0"/>
            <w:vAlign w:val="center"/>
          </w:tcPr>
          <w:p w14:paraId="52C74D1E">
            <w:pPr>
              <w:widowControl/>
              <w:spacing w:line="360" w:lineRule="auto"/>
              <w:jc w:val="center"/>
              <w:rPr>
                <w:rFonts w:hint="default" w:ascii="宋体" w:hAnsi="宋体" w:eastAsia="宋体"/>
                <w:b w:val="0"/>
                <w:bCs/>
                <w:color w:val="auto"/>
                <w:kern w:val="0"/>
                <w:sz w:val="24"/>
                <w:szCs w:val="24"/>
                <w:highlight w:val="none"/>
                <w:lang w:val="en-US" w:eastAsia="zh-CN"/>
              </w:rPr>
            </w:pPr>
            <w:r>
              <w:rPr>
                <w:rFonts w:hint="eastAsia" w:ascii="宋体" w:hAnsi="宋体"/>
                <w:b w:val="0"/>
                <w:bCs/>
                <w:color w:val="auto"/>
                <w:kern w:val="0"/>
                <w:sz w:val="24"/>
                <w:szCs w:val="24"/>
                <w:highlight w:val="none"/>
                <w:lang w:val="en-US" w:eastAsia="zh-CN"/>
              </w:rPr>
              <w:t>17</w:t>
            </w:r>
          </w:p>
        </w:tc>
        <w:tc>
          <w:tcPr>
            <w:tcW w:w="1092" w:type="dxa"/>
            <w:noWrap w:val="0"/>
            <w:vAlign w:val="center"/>
          </w:tcPr>
          <w:p w14:paraId="49450E72">
            <w:pPr>
              <w:widowControl/>
              <w:spacing w:line="360" w:lineRule="auto"/>
              <w:jc w:val="center"/>
              <w:rPr>
                <w:rFonts w:ascii="宋体" w:hAnsi="宋体"/>
                <w:b/>
                <w:color w:val="auto"/>
                <w:kern w:val="0"/>
                <w:sz w:val="24"/>
                <w:szCs w:val="24"/>
                <w:highlight w:val="none"/>
              </w:rPr>
            </w:pPr>
          </w:p>
        </w:tc>
        <w:tc>
          <w:tcPr>
            <w:tcW w:w="1237" w:type="dxa"/>
            <w:noWrap w:val="0"/>
            <w:vAlign w:val="center"/>
          </w:tcPr>
          <w:p w14:paraId="3A529FAF">
            <w:pPr>
              <w:widowControl/>
              <w:spacing w:line="360" w:lineRule="auto"/>
              <w:jc w:val="center"/>
              <w:rPr>
                <w:rFonts w:ascii="宋体" w:hAnsi="宋体"/>
                <w:b/>
                <w:color w:val="auto"/>
                <w:kern w:val="0"/>
                <w:sz w:val="24"/>
                <w:szCs w:val="24"/>
                <w:highlight w:val="none"/>
              </w:rPr>
            </w:pPr>
          </w:p>
        </w:tc>
        <w:tc>
          <w:tcPr>
            <w:tcW w:w="2875" w:type="dxa"/>
            <w:noWrap w:val="0"/>
            <w:vAlign w:val="center"/>
          </w:tcPr>
          <w:p w14:paraId="227126F2">
            <w:pPr>
              <w:widowControl/>
              <w:spacing w:line="360" w:lineRule="auto"/>
              <w:jc w:val="center"/>
              <w:rPr>
                <w:rFonts w:hint="default" w:ascii="宋体" w:hAnsi="宋体" w:eastAsiaTheme="minorEastAsia"/>
                <w:b w:val="0"/>
                <w:bCs w:val="0"/>
                <w:color w:val="auto"/>
                <w:kern w:val="0"/>
                <w:sz w:val="24"/>
                <w:szCs w:val="24"/>
                <w:highlight w:val="none"/>
                <w:lang w:val="en-US" w:eastAsia="zh-CN"/>
              </w:rPr>
            </w:pPr>
            <w:r>
              <w:rPr>
                <w:rFonts w:hint="eastAsia" w:ascii="宋体" w:hAnsi="宋体"/>
                <w:b w:val="0"/>
                <w:bCs w:val="0"/>
                <w:color w:val="auto"/>
                <w:kern w:val="0"/>
                <w:sz w:val="24"/>
                <w:szCs w:val="24"/>
                <w:highlight w:val="none"/>
              </w:rPr>
              <w:t>按</w:t>
            </w:r>
            <w:r>
              <w:rPr>
                <w:rFonts w:hint="eastAsia" w:ascii="宋体" w:hAnsi="宋体"/>
                <w:b w:val="0"/>
                <w:bCs w:val="0"/>
                <w:color w:val="auto"/>
                <w:kern w:val="0"/>
                <w:sz w:val="24"/>
                <w:szCs w:val="24"/>
                <w:highlight w:val="none"/>
                <w:lang w:eastAsia="zh-CN"/>
              </w:rPr>
              <w:t>四</w:t>
            </w:r>
            <w:r>
              <w:rPr>
                <w:rFonts w:hint="eastAsia" w:ascii="宋体" w:hAnsi="宋体"/>
                <w:b w:val="0"/>
                <w:bCs w:val="0"/>
                <w:color w:val="auto"/>
                <w:kern w:val="0"/>
                <w:sz w:val="24"/>
                <w:szCs w:val="24"/>
                <w:highlight w:val="none"/>
              </w:rPr>
              <w:t>季，每人每</w:t>
            </w:r>
            <w:r>
              <w:rPr>
                <w:rFonts w:hint="eastAsia" w:ascii="宋体" w:hAnsi="宋体"/>
                <w:b w:val="0"/>
                <w:bCs w:val="0"/>
                <w:color w:val="auto"/>
                <w:kern w:val="0"/>
                <w:sz w:val="24"/>
                <w:szCs w:val="24"/>
                <w:highlight w:val="none"/>
                <w:lang w:eastAsia="zh-CN"/>
              </w:rPr>
              <w:t>年四</w:t>
            </w:r>
            <w:r>
              <w:rPr>
                <w:rFonts w:hint="eastAsia" w:ascii="宋体" w:hAnsi="宋体"/>
                <w:b w:val="0"/>
                <w:bCs w:val="0"/>
                <w:color w:val="auto"/>
                <w:kern w:val="0"/>
                <w:sz w:val="24"/>
                <w:szCs w:val="24"/>
                <w:highlight w:val="none"/>
              </w:rPr>
              <w:t>套</w:t>
            </w:r>
            <w:r>
              <w:rPr>
                <w:rFonts w:hint="eastAsia" w:ascii="宋体" w:hAnsi="宋体"/>
                <w:b w:val="0"/>
                <w:bCs w:val="0"/>
                <w:color w:val="auto"/>
                <w:kern w:val="0"/>
                <w:sz w:val="24"/>
                <w:szCs w:val="24"/>
                <w:highlight w:val="none"/>
                <w:lang w:eastAsia="zh-CN"/>
              </w:rPr>
              <w:t>服装</w:t>
            </w:r>
            <w:r>
              <w:rPr>
                <w:rFonts w:hint="eastAsia" w:ascii="宋体" w:hAnsi="宋体"/>
                <w:b w:val="0"/>
                <w:bCs w:val="0"/>
                <w:color w:val="auto"/>
                <w:kern w:val="0"/>
                <w:sz w:val="24"/>
                <w:szCs w:val="24"/>
                <w:highlight w:val="none"/>
                <w:lang w:val="en-US" w:eastAsia="zh-CN"/>
              </w:rPr>
              <w:t>共不低于300元</w:t>
            </w:r>
          </w:p>
        </w:tc>
      </w:tr>
      <w:tr w14:paraId="327B7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79" w:type="dxa"/>
            <w:noWrap w:val="0"/>
            <w:vAlign w:val="center"/>
          </w:tcPr>
          <w:p w14:paraId="11691ADE">
            <w:pPr>
              <w:widowControl/>
              <w:spacing w:line="360" w:lineRule="auto"/>
              <w:jc w:val="center"/>
              <w:rPr>
                <w:rFonts w:hint="eastAsia" w:ascii="宋体" w:hAnsi="宋体" w:eastAsia="宋体"/>
                <w:b/>
                <w:color w:val="auto"/>
                <w:kern w:val="0"/>
                <w:sz w:val="24"/>
                <w:szCs w:val="24"/>
                <w:highlight w:val="none"/>
                <w:lang w:val="en-US" w:eastAsia="zh-CN"/>
              </w:rPr>
            </w:pPr>
            <w:r>
              <w:rPr>
                <w:rFonts w:hint="eastAsia" w:ascii="宋体" w:hAnsi="宋体"/>
                <w:b/>
                <w:color w:val="auto"/>
                <w:kern w:val="0"/>
                <w:sz w:val="24"/>
                <w:szCs w:val="24"/>
                <w:highlight w:val="none"/>
                <w:lang w:val="en-US" w:eastAsia="zh-CN"/>
              </w:rPr>
              <w:t>2</w:t>
            </w:r>
          </w:p>
        </w:tc>
        <w:tc>
          <w:tcPr>
            <w:tcW w:w="1795" w:type="dxa"/>
            <w:noWrap w:val="0"/>
            <w:vAlign w:val="center"/>
          </w:tcPr>
          <w:p w14:paraId="3B54BF5E">
            <w:pPr>
              <w:widowControl/>
              <w:spacing w:line="360" w:lineRule="auto"/>
              <w:jc w:val="left"/>
              <w:rPr>
                <w:rFonts w:hint="eastAsia" w:ascii="宋体" w:hAnsi="宋体"/>
                <w:b w:val="0"/>
                <w:bCs/>
                <w:color w:val="auto"/>
                <w:kern w:val="0"/>
                <w:sz w:val="24"/>
                <w:szCs w:val="24"/>
                <w:highlight w:val="none"/>
                <w:lang w:eastAsia="zh-CN"/>
              </w:rPr>
            </w:pPr>
            <w:r>
              <w:rPr>
                <w:rFonts w:hint="eastAsia" w:ascii="宋体" w:hAnsi="宋体"/>
                <w:b w:val="0"/>
                <w:bCs/>
                <w:color w:val="auto"/>
                <w:kern w:val="0"/>
                <w:sz w:val="24"/>
                <w:szCs w:val="24"/>
                <w:highlight w:val="none"/>
                <w:lang w:eastAsia="zh-CN"/>
              </w:rPr>
              <w:t>福利费</w:t>
            </w:r>
          </w:p>
        </w:tc>
        <w:tc>
          <w:tcPr>
            <w:tcW w:w="761" w:type="dxa"/>
            <w:noWrap w:val="0"/>
            <w:vAlign w:val="center"/>
          </w:tcPr>
          <w:p w14:paraId="392EE180">
            <w:pPr>
              <w:widowControl/>
              <w:spacing w:line="360" w:lineRule="auto"/>
              <w:jc w:val="center"/>
              <w:rPr>
                <w:rFonts w:hint="default" w:ascii="宋体" w:hAnsi="宋体"/>
                <w:b w:val="0"/>
                <w:bCs/>
                <w:color w:val="auto"/>
                <w:kern w:val="0"/>
                <w:sz w:val="24"/>
                <w:szCs w:val="24"/>
                <w:highlight w:val="none"/>
                <w:lang w:val="en-US" w:eastAsia="zh-CN"/>
              </w:rPr>
            </w:pPr>
            <w:r>
              <w:rPr>
                <w:rFonts w:hint="eastAsia" w:ascii="宋体" w:hAnsi="宋体"/>
                <w:b w:val="0"/>
                <w:bCs/>
                <w:color w:val="auto"/>
                <w:kern w:val="0"/>
                <w:sz w:val="24"/>
                <w:szCs w:val="24"/>
                <w:highlight w:val="none"/>
                <w:lang w:val="en-US" w:eastAsia="zh-CN"/>
              </w:rPr>
              <w:t>17</w:t>
            </w:r>
          </w:p>
        </w:tc>
        <w:tc>
          <w:tcPr>
            <w:tcW w:w="1092" w:type="dxa"/>
            <w:noWrap w:val="0"/>
            <w:vAlign w:val="center"/>
          </w:tcPr>
          <w:p w14:paraId="62344AA2">
            <w:pPr>
              <w:widowControl/>
              <w:spacing w:line="360" w:lineRule="auto"/>
              <w:jc w:val="center"/>
              <w:rPr>
                <w:rFonts w:hint="default" w:ascii="宋体" w:hAnsi="宋体" w:eastAsiaTheme="minorEastAsia"/>
                <w:b/>
                <w:color w:val="auto"/>
                <w:kern w:val="0"/>
                <w:sz w:val="24"/>
                <w:szCs w:val="24"/>
                <w:highlight w:val="none"/>
                <w:lang w:val="en-US" w:eastAsia="zh-CN"/>
              </w:rPr>
            </w:pPr>
          </w:p>
        </w:tc>
        <w:tc>
          <w:tcPr>
            <w:tcW w:w="1237" w:type="dxa"/>
            <w:noWrap w:val="0"/>
            <w:vAlign w:val="center"/>
          </w:tcPr>
          <w:p w14:paraId="02D550C2">
            <w:pPr>
              <w:widowControl/>
              <w:spacing w:line="360" w:lineRule="auto"/>
              <w:jc w:val="center"/>
              <w:rPr>
                <w:rFonts w:ascii="宋体" w:hAnsi="宋体"/>
                <w:b/>
                <w:color w:val="auto"/>
                <w:kern w:val="0"/>
                <w:sz w:val="24"/>
                <w:szCs w:val="24"/>
                <w:highlight w:val="none"/>
              </w:rPr>
            </w:pPr>
          </w:p>
        </w:tc>
        <w:tc>
          <w:tcPr>
            <w:tcW w:w="2875" w:type="dxa"/>
            <w:shd w:val="clear" w:color="auto" w:fill="auto"/>
            <w:noWrap w:val="0"/>
            <w:vAlign w:val="center"/>
          </w:tcPr>
          <w:p w14:paraId="4EECFD4D">
            <w:pPr>
              <w:spacing w:line="300" w:lineRule="exact"/>
              <w:rPr>
                <w:rFonts w:hint="eastAsia" w:ascii="宋体" w:hAnsi="宋体" w:cs="宋体" w:eastAsiaTheme="minorEastAsia"/>
                <w:color w:val="auto"/>
                <w:kern w:val="2"/>
                <w:sz w:val="24"/>
                <w:szCs w:val="24"/>
                <w:lang w:val="en-US" w:eastAsia="zh-CN" w:bidi="ar-SA"/>
              </w:rPr>
            </w:pPr>
            <w:r>
              <w:rPr>
                <w:rFonts w:hint="eastAsia" w:ascii="宋体" w:hAnsi="宋体" w:cs="宋体"/>
                <w:color w:val="auto"/>
                <w:sz w:val="24"/>
                <w:szCs w:val="24"/>
              </w:rPr>
              <w:t>不低于</w:t>
            </w:r>
            <w:r>
              <w:rPr>
                <w:rFonts w:hint="eastAsia" w:ascii="宋体" w:hAnsi="宋体" w:cs="宋体"/>
                <w:color w:val="auto"/>
                <w:sz w:val="24"/>
                <w:szCs w:val="24"/>
                <w:lang w:val="en-US" w:eastAsia="zh-CN"/>
              </w:rPr>
              <w:t>10</w:t>
            </w:r>
            <w:r>
              <w:rPr>
                <w:rFonts w:hint="eastAsia" w:ascii="宋体" w:hAnsi="宋体" w:cs="宋体"/>
                <w:color w:val="auto"/>
                <w:sz w:val="24"/>
                <w:szCs w:val="24"/>
              </w:rPr>
              <w:t>00元/人/年</w:t>
            </w:r>
          </w:p>
        </w:tc>
      </w:tr>
      <w:tr w14:paraId="48E99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79" w:type="dxa"/>
            <w:noWrap w:val="0"/>
            <w:vAlign w:val="center"/>
          </w:tcPr>
          <w:p w14:paraId="41E7442E">
            <w:pPr>
              <w:widowControl/>
              <w:spacing w:line="360" w:lineRule="auto"/>
              <w:jc w:val="center"/>
              <w:rPr>
                <w:rFonts w:hint="default" w:ascii="宋体" w:hAnsi="宋体"/>
                <w:b/>
                <w:color w:val="auto"/>
                <w:kern w:val="0"/>
                <w:sz w:val="24"/>
                <w:szCs w:val="24"/>
                <w:highlight w:val="none"/>
                <w:lang w:val="en-US" w:eastAsia="zh-CN"/>
              </w:rPr>
            </w:pPr>
            <w:r>
              <w:rPr>
                <w:rFonts w:hint="eastAsia" w:ascii="宋体" w:hAnsi="宋体"/>
                <w:b/>
                <w:color w:val="auto"/>
                <w:kern w:val="0"/>
                <w:sz w:val="24"/>
                <w:szCs w:val="24"/>
                <w:highlight w:val="none"/>
                <w:lang w:val="en-US" w:eastAsia="zh-CN"/>
              </w:rPr>
              <w:t>3</w:t>
            </w:r>
          </w:p>
        </w:tc>
        <w:tc>
          <w:tcPr>
            <w:tcW w:w="1795" w:type="dxa"/>
            <w:noWrap w:val="0"/>
            <w:vAlign w:val="center"/>
          </w:tcPr>
          <w:p w14:paraId="7DDBAD17">
            <w:pPr>
              <w:widowControl/>
              <w:spacing w:line="360" w:lineRule="auto"/>
              <w:jc w:val="left"/>
              <w:rPr>
                <w:rFonts w:hint="eastAsia" w:ascii="宋体" w:hAnsi="宋体"/>
                <w:b w:val="0"/>
                <w:bCs/>
                <w:color w:val="auto"/>
                <w:kern w:val="0"/>
                <w:sz w:val="24"/>
                <w:szCs w:val="24"/>
                <w:highlight w:val="none"/>
                <w:lang w:eastAsia="zh-CN"/>
              </w:rPr>
            </w:pPr>
            <w:r>
              <w:rPr>
                <w:rFonts w:hint="eastAsia" w:ascii="宋体" w:hAnsi="宋体"/>
                <w:b w:val="0"/>
                <w:bCs/>
                <w:color w:val="auto"/>
                <w:kern w:val="0"/>
                <w:sz w:val="24"/>
                <w:szCs w:val="24"/>
                <w:highlight w:val="none"/>
                <w:lang w:eastAsia="zh-CN"/>
              </w:rPr>
              <w:t>夏季高温补助</w:t>
            </w:r>
          </w:p>
        </w:tc>
        <w:tc>
          <w:tcPr>
            <w:tcW w:w="761" w:type="dxa"/>
            <w:noWrap w:val="0"/>
            <w:vAlign w:val="center"/>
          </w:tcPr>
          <w:p w14:paraId="5A3ABD7E">
            <w:pPr>
              <w:widowControl/>
              <w:spacing w:line="360" w:lineRule="auto"/>
              <w:jc w:val="center"/>
              <w:rPr>
                <w:rFonts w:hint="default" w:ascii="宋体" w:hAnsi="宋体"/>
                <w:b w:val="0"/>
                <w:bCs/>
                <w:color w:val="auto"/>
                <w:kern w:val="0"/>
                <w:sz w:val="24"/>
                <w:szCs w:val="24"/>
                <w:highlight w:val="none"/>
                <w:lang w:val="en-US" w:eastAsia="zh-CN"/>
              </w:rPr>
            </w:pPr>
            <w:r>
              <w:rPr>
                <w:rFonts w:hint="eastAsia" w:ascii="宋体" w:hAnsi="宋体"/>
                <w:b w:val="0"/>
                <w:bCs/>
                <w:color w:val="auto"/>
                <w:kern w:val="0"/>
                <w:sz w:val="24"/>
                <w:szCs w:val="24"/>
                <w:highlight w:val="none"/>
                <w:lang w:val="en-US" w:eastAsia="zh-CN"/>
              </w:rPr>
              <w:t>17</w:t>
            </w:r>
          </w:p>
        </w:tc>
        <w:tc>
          <w:tcPr>
            <w:tcW w:w="1092" w:type="dxa"/>
            <w:noWrap w:val="0"/>
            <w:vAlign w:val="center"/>
          </w:tcPr>
          <w:p w14:paraId="7A2086AD">
            <w:pPr>
              <w:widowControl/>
              <w:spacing w:line="360" w:lineRule="auto"/>
              <w:jc w:val="center"/>
              <w:rPr>
                <w:rFonts w:hint="default" w:ascii="宋体" w:hAnsi="宋体"/>
                <w:b w:val="0"/>
                <w:bCs/>
                <w:color w:val="auto"/>
                <w:kern w:val="0"/>
                <w:sz w:val="24"/>
                <w:szCs w:val="24"/>
                <w:highlight w:val="none"/>
                <w:lang w:val="en-US" w:eastAsia="zh-CN"/>
              </w:rPr>
            </w:pPr>
          </w:p>
        </w:tc>
        <w:tc>
          <w:tcPr>
            <w:tcW w:w="1237" w:type="dxa"/>
            <w:noWrap w:val="0"/>
            <w:vAlign w:val="center"/>
          </w:tcPr>
          <w:p w14:paraId="7770AA1A">
            <w:pPr>
              <w:widowControl/>
              <w:spacing w:line="360" w:lineRule="auto"/>
              <w:jc w:val="center"/>
              <w:rPr>
                <w:rFonts w:ascii="宋体" w:hAnsi="宋体"/>
                <w:b/>
                <w:color w:val="auto"/>
                <w:kern w:val="0"/>
                <w:sz w:val="24"/>
                <w:szCs w:val="24"/>
                <w:highlight w:val="none"/>
              </w:rPr>
            </w:pPr>
          </w:p>
        </w:tc>
        <w:tc>
          <w:tcPr>
            <w:tcW w:w="2875" w:type="dxa"/>
            <w:shd w:val="clear" w:color="auto" w:fill="auto"/>
            <w:noWrap w:val="0"/>
            <w:vAlign w:val="center"/>
          </w:tcPr>
          <w:p w14:paraId="6C5F0F98">
            <w:pPr>
              <w:spacing w:line="300" w:lineRule="exact"/>
              <w:rPr>
                <w:rFonts w:hint="eastAsia" w:ascii="宋体" w:hAnsi="宋体" w:cs="宋体" w:eastAsiaTheme="minorEastAsia"/>
                <w:color w:val="auto"/>
                <w:kern w:val="2"/>
                <w:sz w:val="24"/>
                <w:szCs w:val="24"/>
                <w:lang w:val="en-US" w:eastAsia="zh-CN" w:bidi="ar-SA"/>
              </w:rPr>
            </w:pPr>
            <w:r>
              <w:rPr>
                <w:rFonts w:hint="eastAsia" w:ascii="宋体" w:hAnsi="宋体" w:cs="宋体"/>
                <w:color w:val="auto"/>
                <w:sz w:val="24"/>
                <w:szCs w:val="24"/>
              </w:rPr>
              <w:t>不低于</w:t>
            </w:r>
            <w:r>
              <w:rPr>
                <w:rFonts w:hint="eastAsia" w:ascii="宋体" w:hAnsi="宋体" w:cs="宋体"/>
                <w:color w:val="auto"/>
                <w:sz w:val="24"/>
                <w:szCs w:val="24"/>
                <w:lang w:val="en-US" w:eastAsia="zh-CN"/>
              </w:rPr>
              <w:t>12</w:t>
            </w:r>
            <w:r>
              <w:rPr>
                <w:rFonts w:hint="eastAsia" w:ascii="宋体" w:hAnsi="宋体" w:cs="宋体"/>
                <w:color w:val="auto"/>
                <w:sz w:val="24"/>
                <w:szCs w:val="24"/>
              </w:rPr>
              <w:t>00元/人/年</w:t>
            </w:r>
          </w:p>
        </w:tc>
      </w:tr>
      <w:tr w14:paraId="214BA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79" w:type="dxa"/>
            <w:noWrap w:val="0"/>
            <w:vAlign w:val="center"/>
          </w:tcPr>
          <w:p w14:paraId="072346D5">
            <w:pPr>
              <w:widowControl/>
              <w:spacing w:line="360" w:lineRule="auto"/>
              <w:jc w:val="center"/>
              <w:rPr>
                <w:rFonts w:hint="eastAsia" w:ascii="宋体" w:hAnsi="宋体" w:eastAsia="宋体"/>
                <w:b/>
                <w:color w:val="auto"/>
                <w:kern w:val="0"/>
                <w:sz w:val="24"/>
                <w:szCs w:val="24"/>
                <w:highlight w:val="none"/>
                <w:lang w:val="en-US" w:eastAsia="zh-CN"/>
              </w:rPr>
            </w:pPr>
            <w:r>
              <w:rPr>
                <w:rFonts w:hint="eastAsia" w:ascii="宋体" w:hAnsi="宋体"/>
                <w:b/>
                <w:color w:val="auto"/>
                <w:kern w:val="0"/>
                <w:sz w:val="24"/>
                <w:szCs w:val="24"/>
                <w:highlight w:val="none"/>
                <w:lang w:val="en-US" w:eastAsia="zh-CN"/>
              </w:rPr>
              <w:t>4</w:t>
            </w:r>
          </w:p>
        </w:tc>
        <w:tc>
          <w:tcPr>
            <w:tcW w:w="1795" w:type="dxa"/>
            <w:noWrap w:val="0"/>
            <w:vAlign w:val="center"/>
          </w:tcPr>
          <w:p w14:paraId="3AFF2C3E">
            <w:pPr>
              <w:keepNext w:val="0"/>
              <w:keepLines w:val="0"/>
              <w:widowControl/>
              <w:suppressLineNumbers w:val="0"/>
              <w:jc w:val="left"/>
              <w:textAlignment w:val="center"/>
              <w:rPr>
                <w:rFonts w:hint="eastAsia" w:ascii="宋体" w:hAnsi="宋体"/>
                <w:b w:val="0"/>
                <w:bCs/>
                <w:color w:val="auto"/>
                <w:kern w:val="0"/>
                <w:sz w:val="24"/>
                <w:szCs w:val="24"/>
                <w:highlight w:val="none"/>
                <w:lang w:eastAsia="zh-CN"/>
              </w:rPr>
            </w:pPr>
            <w:r>
              <w:rPr>
                <w:rFonts w:hint="eastAsia" w:ascii="宋体" w:hAnsi="宋体" w:eastAsia="宋体" w:cs="宋体"/>
                <w:b w:val="0"/>
                <w:bCs/>
                <w:i w:val="0"/>
                <w:iCs w:val="0"/>
                <w:color w:val="auto"/>
                <w:kern w:val="0"/>
                <w:sz w:val="24"/>
                <w:szCs w:val="24"/>
                <w:u w:val="none"/>
                <w:lang w:val="en-US" w:eastAsia="zh-CN" w:bidi="ar"/>
              </w:rPr>
              <w:t>管理费</w:t>
            </w:r>
          </w:p>
        </w:tc>
        <w:tc>
          <w:tcPr>
            <w:tcW w:w="761" w:type="dxa"/>
            <w:noWrap w:val="0"/>
            <w:vAlign w:val="center"/>
          </w:tcPr>
          <w:p w14:paraId="09300468">
            <w:pPr>
              <w:widowControl/>
              <w:spacing w:line="360" w:lineRule="auto"/>
              <w:jc w:val="center"/>
              <w:rPr>
                <w:rFonts w:hint="eastAsia" w:ascii="宋体" w:hAnsi="宋体"/>
                <w:b w:val="0"/>
                <w:bCs/>
                <w:color w:val="auto"/>
                <w:kern w:val="0"/>
                <w:sz w:val="24"/>
                <w:szCs w:val="24"/>
                <w:highlight w:val="none"/>
                <w:lang w:val="en-US" w:eastAsia="zh-CN"/>
              </w:rPr>
            </w:pPr>
            <w:r>
              <w:rPr>
                <w:rFonts w:hint="eastAsia" w:ascii="宋体" w:hAnsi="宋体"/>
                <w:b w:val="0"/>
                <w:bCs/>
                <w:color w:val="auto"/>
                <w:kern w:val="0"/>
                <w:sz w:val="24"/>
                <w:szCs w:val="24"/>
                <w:highlight w:val="none"/>
                <w:lang w:val="en-US" w:eastAsia="zh-CN"/>
              </w:rPr>
              <w:t>1</w:t>
            </w:r>
          </w:p>
        </w:tc>
        <w:tc>
          <w:tcPr>
            <w:tcW w:w="1092" w:type="dxa"/>
            <w:noWrap w:val="0"/>
            <w:vAlign w:val="center"/>
          </w:tcPr>
          <w:p w14:paraId="67C50E93">
            <w:pPr>
              <w:keepNext w:val="0"/>
              <w:keepLines w:val="0"/>
              <w:widowControl/>
              <w:suppressLineNumbers w:val="0"/>
              <w:jc w:val="left"/>
              <w:textAlignment w:val="center"/>
              <w:rPr>
                <w:rFonts w:ascii="宋体" w:hAnsi="宋体"/>
                <w:b/>
                <w:color w:val="auto"/>
                <w:kern w:val="0"/>
                <w:sz w:val="24"/>
                <w:szCs w:val="24"/>
                <w:highlight w:val="none"/>
              </w:rPr>
            </w:pPr>
          </w:p>
        </w:tc>
        <w:tc>
          <w:tcPr>
            <w:tcW w:w="1237" w:type="dxa"/>
            <w:noWrap w:val="0"/>
            <w:vAlign w:val="center"/>
          </w:tcPr>
          <w:p w14:paraId="39DEAFBB">
            <w:pPr>
              <w:widowControl/>
              <w:spacing w:line="360" w:lineRule="auto"/>
              <w:jc w:val="center"/>
              <w:rPr>
                <w:rFonts w:ascii="宋体" w:hAnsi="宋体"/>
                <w:b/>
                <w:color w:val="auto"/>
                <w:kern w:val="0"/>
                <w:sz w:val="24"/>
                <w:szCs w:val="24"/>
                <w:highlight w:val="none"/>
              </w:rPr>
            </w:pPr>
          </w:p>
        </w:tc>
        <w:tc>
          <w:tcPr>
            <w:tcW w:w="2875" w:type="dxa"/>
            <w:noWrap w:val="0"/>
            <w:vAlign w:val="center"/>
          </w:tcPr>
          <w:p w14:paraId="037D7239">
            <w:pPr>
              <w:widowControl/>
              <w:spacing w:line="360" w:lineRule="auto"/>
              <w:jc w:val="center"/>
              <w:rPr>
                <w:rFonts w:ascii="宋体" w:hAnsi="宋体"/>
                <w:b w:val="0"/>
                <w:bCs w:val="0"/>
                <w:color w:val="auto"/>
                <w:kern w:val="0"/>
                <w:sz w:val="24"/>
                <w:szCs w:val="24"/>
                <w:highlight w:val="none"/>
              </w:rPr>
            </w:pPr>
          </w:p>
        </w:tc>
      </w:tr>
      <w:tr w14:paraId="76A42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79" w:type="dxa"/>
            <w:noWrap w:val="0"/>
            <w:vAlign w:val="center"/>
          </w:tcPr>
          <w:p w14:paraId="4AB96CE2">
            <w:pPr>
              <w:widowControl/>
              <w:spacing w:line="360" w:lineRule="auto"/>
              <w:jc w:val="center"/>
              <w:rPr>
                <w:rFonts w:hint="eastAsia" w:ascii="宋体" w:hAnsi="宋体" w:eastAsia="宋体"/>
                <w:b/>
                <w:color w:val="auto"/>
                <w:kern w:val="0"/>
                <w:sz w:val="24"/>
                <w:szCs w:val="24"/>
                <w:highlight w:val="none"/>
                <w:lang w:val="en-US" w:eastAsia="zh-CN"/>
              </w:rPr>
            </w:pPr>
            <w:r>
              <w:rPr>
                <w:rFonts w:hint="eastAsia" w:ascii="宋体" w:hAnsi="宋体"/>
                <w:b/>
                <w:color w:val="auto"/>
                <w:kern w:val="0"/>
                <w:sz w:val="24"/>
                <w:szCs w:val="24"/>
                <w:highlight w:val="none"/>
                <w:lang w:val="en-US" w:eastAsia="zh-CN"/>
              </w:rPr>
              <w:t>5</w:t>
            </w:r>
          </w:p>
        </w:tc>
        <w:tc>
          <w:tcPr>
            <w:tcW w:w="1795" w:type="dxa"/>
            <w:noWrap w:val="0"/>
            <w:vAlign w:val="center"/>
          </w:tcPr>
          <w:p w14:paraId="0BE17B64">
            <w:pPr>
              <w:keepNext w:val="0"/>
              <w:keepLines w:val="0"/>
              <w:widowControl/>
              <w:suppressLineNumbers w:val="0"/>
              <w:jc w:val="left"/>
              <w:textAlignment w:val="center"/>
              <w:rPr>
                <w:rFonts w:hint="eastAsia" w:ascii="宋体" w:hAnsi="宋体"/>
                <w:b w:val="0"/>
                <w:bCs/>
                <w:color w:val="auto"/>
                <w:kern w:val="0"/>
                <w:sz w:val="24"/>
                <w:szCs w:val="24"/>
                <w:highlight w:val="none"/>
                <w:lang w:eastAsia="zh-CN"/>
              </w:rPr>
            </w:pPr>
            <w:r>
              <w:rPr>
                <w:rFonts w:hint="eastAsia" w:ascii="宋体" w:hAnsi="宋体" w:eastAsia="宋体" w:cs="宋体"/>
                <w:b w:val="0"/>
                <w:bCs/>
                <w:i w:val="0"/>
                <w:iCs w:val="0"/>
                <w:color w:val="auto"/>
                <w:kern w:val="0"/>
                <w:sz w:val="24"/>
                <w:szCs w:val="24"/>
                <w:u w:val="none"/>
                <w:lang w:val="en-US" w:eastAsia="zh-CN" w:bidi="ar"/>
              </w:rPr>
              <w:t>其他费用</w:t>
            </w:r>
          </w:p>
        </w:tc>
        <w:tc>
          <w:tcPr>
            <w:tcW w:w="761" w:type="dxa"/>
            <w:noWrap w:val="0"/>
            <w:vAlign w:val="center"/>
          </w:tcPr>
          <w:p w14:paraId="78D732CF">
            <w:pPr>
              <w:widowControl/>
              <w:spacing w:line="360" w:lineRule="auto"/>
              <w:jc w:val="center"/>
              <w:rPr>
                <w:rFonts w:hint="eastAsia" w:ascii="宋体" w:hAnsi="宋体"/>
                <w:b w:val="0"/>
                <w:bCs/>
                <w:color w:val="auto"/>
                <w:kern w:val="0"/>
                <w:sz w:val="24"/>
                <w:szCs w:val="24"/>
                <w:highlight w:val="none"/>
                <w:lang w:val="en-US" w:eastAsia="zh-CN"/>
              </w:rPr>
            </w:pPr>
            <w:r>
              <w:rPr>
                <w:rFonts w:hint="eastAsia" w:ascii="宋体" w:hAnsi="宋体"/>
                <w:b w:val="0"/>
                <w:bCs/>
                <w:color w:val="auto"/>
                <w:kern w:val="0"/>
                <w:sz w:val="24"/>
                <w:szCs w:val="24"/>
                <w:highlight w:val="none"/>
                <w:lang w:val="en-US" w:eastAsia="zh-CN"/>
              </w:rPr>
              <w:t>1</w:t>
            </w:r>
          </w:p>
        </w:tc>
        <w:tc>
          <w:tcPr>
            <w:tcW w:w="1092" w:type="dxa"/>
            <w:noWrap w:val="0"/>
            <w:vAlign w:val="center"/>
          </w:tcPr>
          <w:p w14:paraId="32924320">
            <w:pPr>
              <w:keepNext w:val="0"/>
              <w:keepLines w:val="0"/>
              <w:widowControl/>
              <w:suppressLineNumbers w:val="0"/>
              <w:jc w:val="left"/>
              <w:textAlignment w:val="center"/>
              <w:rPr>
                <w:rFonts w:ascii="宋体" w:hAnsi="宋体"/>
                <w:b/>
                <w:color w:val="auto"/>
                <w:kern w:val="0"/>
                <w:sz w:val="24"/>
                <w:szCs w:val="24"/>
                <w:highlight w:val="none"/>
              </w:rPr>
            </w:pPr>
          </w:p>
        </w:tc>
        <w:tc>
          <w:tcPr>
            <w:tcW w:w="1237" w:type="dxa"/>
            <w:noWrap w:val="0"/>
            <w:vAlign w:val="center"/>
          </w:tcPr>
          <w:p w14:paraId="607732E5">
            <w:pPr>
              <w:widowControl/>
              <w:spacing w:line="360" w:lineRule="auto"/>
              <w:jc w:val="center"/>
              <w:rPr>
                <w:rFonts w:ascii="宋体" w:hAnsi="宋体"/>
                <w:b/>
                <w:color w:val="auto"/>
                <w:kern w:val="0"/>
                <w:sz w:val="24"/>
                <w:szCs w:val="24"/>
                <w:highlight w:val="none"/>
              </w:rPr>
            </w:pPr>
          </w:p>
        </w:tc>
        <w:tc>
          <w:tcPr>
            <w:tcW w:w="2875" w:type="dxa"/>
            <w:noWrap w:val="0"/>
            <w:vAlign w:val="center"/>
          </w:tcPr>
          <w:p w14:paraId="12C05920">
            <w:pPr>
              <w:widowControl/>
              <w:spacing w:line="360" w:lineRule="auto"/>
              <w:jc w:val="center"/>
              <w:rPr>
                <w:rFonts w:ascii="宋体" w:hAnsi="宋体"/>
                <w:b w:val="0"/>
                <w:bCs w:val="0"/>
                <w:color w:val="auto"/>
                <w:kern w:val="0"/>
                <w:sz w:val="24"/>
                <w:szCs w:val="24"/>
                <w:highlight w:val="none"/>
              </w:rPr>
            </w:pPr>
          </w:p>
        </w:tc>
      </w:tr>
      <w:tr w14:paraId="519CB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79" w:type="dxa"/>
            <w:noWrap w:val="0"/>
            <w:vAlign w:val="center"/>
          </w:tcPr>
          <w:p w14:paraId="7C1E0205">
            <w:pPr>
              <w:widowControl/>
              <w:spacing w:line="360" w:lineRule="auto"/>
              <w:jc w:val="center"/>
              <w:rPr>
                <w:rFonts w:hint="eastAsia" w:ascii="宋体" w:hAnsi="宋体" w:eastAsia="宋体"/>
                <w:b/>
                <w:color w:val="auto"/>
                <w:kern w:val="0"/>
                <w:sz w:val="24"/>
                <w:szCs w:val="24"/>
                <w:highlight w:val="none"/>
                <w:lang w:val="en-US" w:eastAsia="zh-CN"/>
              </w:rPr>
            </w:pPr>
            <w:r>
              <w:rPr>
                <w:rFonts w:hint="eastAsia" w:ascii="宋体" w:hAnsi="宋体"/>
                <w:b/>
                <w:color w:val="auto"/>
                <w:kern w:val="0"/>
                <w:sz w:val="24"/>
                <w:szCs w:val="24"/>
                <w:highlight w:val="none"/>
                <w:lang w:val="en-US" w:eastAsia="zh-CN"/>
              </w:rPr>
              <w:t>6</w:t>
            </w:r>
          </w:p>
        </w:tc>
        <w:tc>
          <w:tcPr>
            <w:tcW w:w="1795" w:type="dxa"/>
            <w:noWrap w:val="0"/>
            <w:vAlign w:val="center"/>
          </w:tcPr>
          <w:p w14:paraId="59DE9742">
            <w:pPr>
              <w:keepNext w:val="0"/>
              <w:keepLines w:val="0"/>
              <w:widowControl/>
              <w:suppressLineNumbers w:val="0"/>
              <w:jc w:val="left"/>
              <w:textAlignment w:val="center"/>
              <w:rPr>
                <w:rFonts w:hint="eastAsia" w:ascii="宋体" w:hAnsi="宋体"/>
                <w:b w:val="0"/>
                <w:bCs/>
                <w:color w:val="auto"/>
                <w:kern w:val="0"/>
                <w:sz w:val="24"/>
                <w:szCs w:val="24"/>
                <w:highlight w:val="none"/>
                <w:lang w:eastAsia="zh-CN"/>
              </w:rPr>
            </w:pPr>
            <w:r>
              <w:rPr>
                <w:rFonts w:hint="eastAsia" w:ascii="宋体" w:hAnsi="宋体" w:eastAsia="宋体" w:cs="宋体"/>
                <w:b w:val="0"/>
                <w:bCs/>
                <w:i w:val="0"/>
                <w:iCs w:val="0"/>
                <w:color w:val="auto"/>
                <w:kern w:val="0"/>
                <w:sz w:val="24"/>
                <w:szCs w:val="24"/>
                <w:u w:val="none"/>
                <w:lang w:val="en-US" w:eastAsia="zh-CN" w:bidi="ar"/>
              </w:rPr>
              <w:t>合理利润</w:t>
            </w:r>
          </w:p>
        </w:tc>
        <w:tc>
          <w:tcPr>
            <w:tcW w:w="761" w:type="dxa"/>
            <w:noWrap w:val="0"/>
            <w:vAlign w:val="center"/>
          </w:tcPr>
          <w:p w14:paraId="1E42BC14">
            <w:pPr>
              <w:widowControl/>
              <w:spacing w:line="360" w:lineRule="auto"/>
              <w:jc w:val="center"/>
              <w:rPr>
                <w:rFonts w:hint="eastAsia" w:ascii="宋体" w:hAnsi="宋体"/>
                <w:b w:val="0"/>
                <w:bCs/>
                <w:color w:val="auto"/>
                <w:kern w:val="0"/>
                <w:sz w:val="24"/>
                <w:szCs w:val="24"/>
                <w:highlight w:val="none"/>
                <w:lang w:val="en-US" w:eastAsia="zh-CN"/>
              </w:rPr>
            </w:pPr>
            <w:r>
              <w:rPr>
                <w:rFonts w:hint="eastAsia" w:ascii="宋体" w:hAnsi="宋体"/>
                <w:b w:val="0"/>
                <w:bCs/>
                <w:color w:val="auto"/>
                <w:kern w:val="0"/>
                <w:sz w:val="24"/>
                <w:szCs w:val="24"/>
                <w:highlight w:val="none"/>
                <w:lang w:val="en-US" w:eastAsia="zh-CN"/>
              </w:rPr>
              <w:t>1</w:t>
            </w:r>
          </w:p>
        </w:tc>
        <w:tc>
          <w:tcPr>
            <w:tcW w:w="1092" w:type="dxa"/>
            <w:noWrap w:val="0"/>
            <w:vAlign w:val="center"/>
          </w:tcPr>
          <w:p w14:paraId="1DA16BE2">
            <w:pPr>
              <w:keepNext w:val="0"/>
              <w:keepLines w:val="0"/>
              <w:widowControl/>
              <w:suppressLineNumbers w:val="0"/>
              <w:jc w:val="left"/>
              <w:textAlignment w:val="center"/>
              <w:rPr>
                <w:rFonts w:ascii="宋体" w:hAnsi="宋体"/>
                <w:b/>
                <w:color w:val="auto"/>
                <w:kern w:val="0"/>
                <w:sz w:val="24"/>
                <w:szCs w:val="24"/>
                <w:highlight w:val="none"/>
              </w:rPr>
            </w:pPr>
          </w:p>
        </w:tc>
        <w:tc>
          <w:tcPr>
            <w:tcW w:w="1237" w:type="dxa"/>
            <w:noWrap w:val="0"/>
            <w:vAlign w:val="center"/>
          </w:tcPr>
          <w:p w14:paraId="364BA586">
            <w:pPr>
              <w:widowControl/>
              <w:spacing w:line="360" w:lineRule="auto"/>
              <w:jc w:val="center"/>
              <w:rPr>
                <w:rFonts w:ascii="宋体" w:hAnsi="宋体"/>
                <w:b/>
                <w:color w:val="auto"/>
                <w:kern w:val="0"/>
                <w:sz w:val="24"/>
                <w:szCs w:val="24"/>
                <w:highlight w:val="none"/>
              </w:rPr>
            </w:pPr>
          </w:p>
        </w:tc>
        <w:tc>
          <w:tcPr>
            <w:tcW w:w="2875" w:type="dxa"/>
            <w:noWrap w:val="0"/>
            <w:vAlign w:val="center"/>
          </w:tcPr>
          <w:p w14:paraId="6D4A6846">
            <w:pPr>
              <w:widowControl/>
              <w:spacing w:line="360" w:lineRule="auto"/>
              <w:jc w:val="center"/>
              <w:rPr>
                <w:rFonts w:ascii="宋体" w:hAnsi="宋体"/>
                <w:b w:val="0"/>
                <w:bCs w:val="0"/>
                <w:color w:val="auto"/>
                <w:kern w:val="0"/>
                <w:sz w:val="24"/>
                <w:szCs w:val="24"/>
                <w:highlight w:val="none"/>
              </w:rPr>
            </w:pPr>
          </w:p>
        </w:tc>
      </w:tr>
      <w:tr w14:paraId="3A9FB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879" w:type="dxa"/>
            <w:noWrap w:val="0"/>
            <w:vAlign w:val="center"/>
          </w:tcPr>
          <w:p w14:paraId="172B551C">
            <w:pPr>
              <w:widowControl/>
              <w:spacing w:line="360" w:lineRule="auto"/>
              <w:jc w:val="center"/>
              <w:rPr>
                <w:rFonts w:hint="default" w:ascii="宋体" w:hAnsi="宋体" w:eastAsia="宋体"/>
                <w:b w:val="0"/>
                <w:bCs/>
                <w:color w:val="auto"/>
                <w:kern w:val="0"/>
                <w:sz w:val="24"/>
                <w:szCs w:val="24"/>
                <w:highlight w:val="none"/>
                <w:lang w:val="en-US" w:eastAsia="zh-CN"/>
              </w:rPr>
            </w:pPr>
            <w:r>
              <w:rPr>
                <w:rFonts w:hint="eastAsia" w:ascii="宋体" w:hAnsi="宋体" w:eastAsia="宋体"/>
                <w:b w:val="0"/>
                <w:bCs/>
                <w:color w:val="auto"/>
                <w:kern w:val="0"/>
                <w:sz w:val="24"/>
                <w:szCs w:val="24"/>
                <w:highlight w:val="none"/>
                <w:lang w:val="en-US" w:eastAsia="zh-CN"/>
              </w:rPr>
              <w:t>六</w:t>
            </w:r>
          </w:p>
        </w:tc>
        <w:tc>
          <w:tcPr>
            <w:tcW w:w="1795" w:type="dxa"/>
            <w:noWrap w:val="0"/>
            <w:vAlign w:val="center"/>
          </w:tcPr>
          <w:p w14:paraId="7D62969A">
            <w:pPr>
              <w:widowControl/>
              <w:spacing w:line="360" w:lineRule="auto"/>
              <w:jc w:val="left"/>
              <w:rPr>
                <w:rFonts w:ascii="宋体" w:hAnsi="宋体"/>
                <w:b w:val="0"/>
                <w:bCs/>
                <w:color w:val="auto"/>
                <w:kern w:val="0"/>
                <w:sz w:val="24"/>
                <w:szCs w:val="24"/>
                <w:highlight w:val="none"/>
              </w:rPr>
            </w:pPr>
            <w:r>
              <w:rPr>
                <w:rFonts w:hint="eastAsia" w:ascii="宋体" w:hAnsi="宋体"/>
                <w:b w:val="0"/>
                <w:bCs/>
                <w:color w:val="auto"/>
                <w:kern w:val="0"/>
                <w:sz w:val="24"/>
                <w:szCs w:val="24"/>
                <w:highlight w:val="none"/>
              </w:rPr>
              <w:t>法定税费</w:t>
            </w:r>
          </w:p>
        </w:tc>
        <w:tc>
          <w:tcPr>
            <w:tcW w:w="761" w:type="dxa"/>
            <w:noWrap w:val="0"/>
            <w:vAlign w:val="center"/>
          </w:tcPr>
          <w:p w14:paraId="44ED54E9">
            <w:pPr>
              <w:widowControl/>
              <w:spacing w:line="360" w:lineRule="auto"/>
              <w:jc w:val="center"/>
              <w:rPr>
                <w:rFonts w:ascii="宋体" w:hAnsi="宋体"/>
                <w:b w:val="0"/>
                <w:bCs/>
                <w:color w:val="auto"/>
                <w:kern w:val="0"/>
                <w:sz w:val="24"/>
                <w:szCs w:val="24"/>
                <w:highlight w:val="none"/>
              </w:rPr>
            </w:pPr>
          </w:p>
        </w:tc>
        <w:tc>
          <w:tcPr>
            <w:tcW w:w="1092" w:type="dxa"/>
            <w:noWrap w:val="0"/>
            <w:vAlign w:val="center"/>
          </w:tcPr>
          <w:p w14:paraId="0561FB91">
            <w:pPr>
              <w:widowControl/>
              <w:spacing w:line="360" w:lineRule="auto"/>
              <w:jc w:val="center"/>
              <w:rPr>
                <w:rFonts w:hint="default" w:ascii="宋体" w:hAnsi="宋体" w:eastAsia="宋体"/>
                <w:b w:val="0"/>
                <w:bCs/>
                <w:color w:val="auto"/>
                <w:kern w:val="0"/>
                <w:sz w:val="24"/>
                <w:szCs w:val="24"/>
                <w:highlight w:val="none"/>
                <w:lang w:val="en-US" w:eastAsia="zh-CN"/>
              </w:rPr>
            </w:pPr>
            <w:r>
              <w:rPr>
                <w:rFonts w:hint="eastAsia" w:ascii="宋体" w:hAnsi="宋体"/>
                <w:b w:val="0"/>
                <w:bCs/>
                <w:color w:val="auto"/>
                <w:kern w:val="0"/>
                <w:sz w:val="24"/>
                <w:szCs w:val="24"/>
                <w:highlight w:val="none"/>
                <w:lang w:val="en-US" w:eastAsia="zh-CN"/>
              </w:rPr>
              <w:t>6.72%</w:t>
            </w:r>
          </w:p>
        </w:tc>
        <w:tc>
          <w:tcPr>
            <w:tcW w:w="1237" w:type="dxa"/>
            <w:noWrap w:val="0"/>
            <w:vAlign w:val="center"/>
          </w:tcPr>
          <w:p w14:paraId="6B179396">
            <w:pPr>
              <w:spacing w:line="360" w:lineRule="auto"/>
              <w:jc w:val="center"/>
              <w:rPr>
                <w:rFonts w:ascii="宋体" w:hAnsi="宋体"/>
                <w:b/>
                <w:color w:val="auto"/>
                <w:kern w:val="0"/>
                <w:sz w:val="24"/>
                <w:szCs w:val="24"/>
                <w:highlight w:val="none"/>
              </w:rPr>
            </w:pPr>
          </w:p>
        </w:tc>
        <w:tc>
          <w:tcPr>
            <w:tcW w:w="2875" w:type="dxa"/>
            <w:noWrap w:val="0"/>
            <w:vAlign w:val="center"/>
          </w:tcPr>
          <w:p w14:paraId="380A70BA">
            <w:pPr>
              <w:spacing w:line="360" w:lineRule="auto"/>
              <w:jc w:val="left"/>
              <w:rPr>
                <w:rFonts w:ascii="宋体" w:hAnsi="宋体"/>
                <w:b w:val="0"/>
                <w:bCs w:val="0"/>
                <w:color w:val="auto"/>
                <w:kern w:val="0"/>
                <w:sz w:val="24"/>
                <w:szCs w:val="24"/>
                <w:highlight w:val="none"/>
              </w:rPr>
            </w:pPr>
            <w:r>
              <w:rPr>
                <w:rFonts w:hint="eastAsia" w:ascii="宋体" w:hAnsi="宋体"/>
                <w:b w:val="0"/>
                <w:bCs w:val="0"/>
                <w:color w:val="auto"/>
                <w:kern w:val="0"/>
                <w:sz w:val="24"/>
                <w:szCs w:val="24"/>
                <w:highlight w:val="none"/>
                <w:lang w:val="en-US" w:eastAsia="zh-CN"/>
              </w:rPr>
              <w:t>六</w:t>
            </w:r>
            <w:r>
              <w:rPr>
                <w:rFonts w:hint="eastAsia" w:ascii="宋体" w:hAnsi="宋体"/>
                <w:b w:val="0"/>
                <w:bCs w:val="0"/>
                <w:color w:val="auto"/>
                <w:kern w:val="0"/>
                <w:sz w:val="24"/>
                <w:szCs w:val="24"/>
                <w:highlight w:val="none"/>
              </w:rPr>
              <w:t>=（一+二+三</w:t>
            </w:r>
            <w:r>
              <w:rPr>
                <w:rFonts w:hint="eastAsia" w:ascii="宋体" w:hAnsi="宋体"/>
                <w:b w:val="0"/>
                <w:bCs w:val="0"/>
                <w:color w:val="auto"/>
                <w:kern w:val="0"/>
                <w:sz w:val="24"/>
                <w:szCs w:val="24"/>
                <w:highlight w:val="none"/>
                <w:lang w:val="en-US" w:eastAsia="zh-CN"/>
              </w:rPr>
              <w:t>+四+五</w:t>
            </w:r>
            <w:r>
              <w:rPr>
                <w:rFonts w:hint="eastAsia" w:ascii="宋体" w:hAnsi="宋体"/>
                <w:b w:val="0"/>
                <w:bCs w:val="0"/>
                <w:color w:val="auto"/>
                <w:kern w:val="0"/>
                <w:sz w:val="24"/>
                <w:szCs w:val="24"/>
                <w:highlight w:val="none"/>
              </w:rPr>
              <w:t>）*税金费率。</w:t>
            </w:r>
          </w:p>
        </w:tc>
      </w:tr>
      <w:tr w14:paraId="03360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2674" w:type="dxa"/>
            <w:gridSpan w:val="2"/>
            <w:noWrap w:val="0"/>
            <w:vAlign w:val="center"/>
          </w:tcPr>
          <w:p w14:paraId="51DD5B14">
            <w:pPr>
              <w:widowControl/>
              <w:spacing w:line="360" w:lineRule="auto"/>
              <w:jc w:val="center"/>
              <w:rPr>
                <w:rFonts w:ascii="宋体" w:hAnsi="宋体"/>
                <w:b/>
                <w:color w:val="auto"/>
                <w:kern w:val="0"/>
                <w:sz w:val="24"/>
                <w:szCs w:val="24"/>
                <w:highlight w:val="none"/>
              </w:rPr>
            </w:pPr>
            <w:r>
              <w:rPr>
                <w:rFonts w:hint="eastAsia" w:ascii="宋体" w:hAnsi="宋体"/>
                <w:b/>
                <w:color w:val="auto"/>
                <w:kern w:val="0"/>
                <w:sz w:val="24"/>
                <w:szCs w:val="24"/>
                <w:highlight w:val="none"/>
              </w:rPr>
              <w:t>投标总报价（</w:t>
            </w:r>
            <w:r>
              <w:rPr>
                <w:rFonts w:hint="eastAsia" w:ascii="宋体" w:hAnsi="宋体"/>
                <w:b/>
                <w:color w:val="auto"/>
                <w:kern w:val="0"/>
                <w:sz w:val="24"/>
                <w:szCs w:val="24"/>
                <w:highlight w:val="none"/>
                <w:lang w:eastAsia="zh-CN"/>
              </w:rPr>
              <w:t>一+二+……+六</w:t>
            </w:r>
            <w:r>
              <w:rPr>
                <w:rFonts w:hint="eastAsia" w:ascii="宋体" w:hAnsi="宋体"/>
                <w:b/>
                <w:color w:val="auto"/>
                <w:kern w:val="0"/>
                <w:sz w:val="24"/>
                <w:szCs w:val="24"/>
                <w:highlight w:val="none"/>
              </w:rPr>
              <w:t>）</w:t>
            </w:r>
          </w:p>
        </w:tc>
        <w:tc>
          <w:tcPr>
            <w:tcW w:w="761" w:type="dxa"/>
            <w:noWrap w:val="0"/>
            <w:vAlign w:val="top"/>
          </w:tcPr>
          <w:p w14:paraId="56C6C9EE">
            <w:pPr>
              <w:widowControl/>
              <w:spacing w:line="360" w:lineRule="auto"/>
              <w:jc w:val="center"/>
              <w:rPr>
                <w:rFonts w:ascii="宋体" w:hAnsi="宋体"/>
                <w:color w:val="auto"/>
                <w:kern w:val="0"/>
                <w:sz w:val="24"/>
                <w:szCs w:val="24"/>
                <w:highlight w:val="none"/>
              </w:rPr>
            </w:pPr>
          </w:p>
        </w:tc>
        <w:tc>
          <w:tcPr>
            <w:tcW w:w="1092" w:type="dxa"/>
            <w:noWrap w:val="0"/>
            <w:vAlign w:val="center"/>
          </w:tcPr>
          <w:p w14:paraId="70E38769">
            <w:pPr>
              <w:widowControl/>
              <w:spacing w:line="360" w:lineRule="auto"/>
              <w:jc w:val="center"/>
              <w:rPr>
                <w:rFonts w:ascii="宋体" w:hAnsi="宋体"/>
                <w:color w:val="auto"/>
                <w:kern w:val="0"/>
                <w:sz w:val="24"/>
                <w:szCs w:val="24"/>
                <w:highlight w:val="none"/>
              </w:rPr>
            </w:pPr>
          </w:p>
        </w:tc>
        <w:tc>
          <w:tcPr>
            <w:tcW w:w="1237" w:type="dxa"/>
            <w:noWrap w:val="0"/>
            <w:vAlign w:val="center"/>
          </w:tcPr>
          <w:p w14:paraId="2796BDB8">
            <w:pPr>
              <w:widowControl/>
              <w:spacing w:line="360" w:lineRule="auto"/>
              <w:jc w:val="center"/>
              <w:rPr>
                <w:rFonts w:ascii="宋体" w:hAnsi="宋体"/>
                <w:b/>
                <w:color w:val="auto"/>
                <w:kern w:val="0"/>
                <w:sz w:val="24"/>
                <w:szCs w:val="24"/>
                <w:highlight w:val="none"/>
              </w:rPr>
            </w:pPr>
          </w:p>
        </w:tc>
        <w:tc>
          <w:tcPr>
            <w:tcW w:w="2875" w:type="dxa"/>
            <w:noWrap w:val="0"/>
            <w:vAlign w:val="center"/>
          </w:tcPr>
          <w:p w14:paraId="1F07D348">
            <w:pPr>
              <w:widowControl/>
              <w:spacing w:line="360" w:lineRule="auto"/>
              <w:jc w:val="center"/>
              <w:rPr>
                <w:rFonts w:ascii="宋体" w:hAnsi="宋体"/>
                <w:color w:val="auto"/>
                <w:kern w:val="0"/>
                <w:sz w:val="24"/>
                <w:szCs w:val="24"/>
                <w:highlight w:val="none"/>
              </w:rPr>
            </w:pPr>
          </w:p>
        </w:tc>
      </w:tr>
    </w:tbl>
    <w:p w14:paraId="71D6D7FB">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lang w:val="en-US" w:eastAsia="zh-CN"/>
        </w:rPr>
      </w:pPr>
      <w:r>
        <w:rPr>
          <w:rFonts w:hint="eastAsia" w:ascii="宋体" w:hAnsi="宋体"/>
          <w:b/>
          <w:color w:val="auto"/>
          <w:sz w:val="24"/>
          <w:highlight w:val="none"/>
        </w:rPr>
        <w:t>投标人</w:t>
      </w:r>
      <w:r>
        <w:rPr>
          <w:rFonts w:hint="eastAsia" w:ascii="宋体" w:hAnsi="Arial" w:cs="宋体"/>
          <w:b/>
          <w:bCs/>
          <w:color w:val="auto"/>
          <w:sz w:val="24"/>
          <w:highlight w:val="none"/>
          <w:lang w:val="zh-CN"/>
        </w:rPr>
        <w:t>所提供人员的费用不得低于上述标准进行测算，</w:t>
      </w:r>
      <w:r>
        <w:rPr>
          <w:rFonts w:hint="eastAsia" w:ascii="宋体" w:hAnsi="宋体"/>
          <w:b/>
          <w:color w:val="auto"/>
          <w:sz w:val="24"/>
          <w:highlight w:val="none"/>
        </w:rPr>
        <w:t>否则</w:t>
      </w:r>
      <w:r>
        <w:rPr>
          <w:rFonts w:hint="eastAsia" w:ascii="宋体" w:hAnsi="Arial" w:cs="宋体"/>
          <w:b/>
          <w:bCs/>
          <w:color w:val="auto"/>
          <w:sz w:val="24"/>
          <w:highlight w:val="none"/>
          <w:lang w:val="zh-CN"/>
        </w:rPr>
        <w:t>视为未实质性响应招标文件要求</w:t>
      </w:r>
      <w:r>
        <w:rPr>
          <w:rFonts w:hint="eastAsia" w:ascii="宋体" w:hAnsi="宋体"/>
          <w:b/>
          <w:color w:val="auto"/>
          <w:sz w:val="24"/>
          <w:highlight w:val="none"/>
        </w:rPr>
        <w:t>。如果招标公告发布之后</w:t>
      </w:r>
      <w:r>
        <w:rPr>
          <w:rFonts w:hint="eastAsia" w:ascii="宋体" w:hAnsi="宋体"/>
          <w:b/>
          <w:color w:val="auto"/>
          <w:sz w:val="24"/>
          <w:highlight w:val="none"/>
          <w:lang w:val="en-US" w:eastAsia="zh-CN"/>
        </w:rPr>
        <w:t>开标前</w:t>
      </w:r>
      <w:r>
        <w:rPr>
          <w:rFonts w:hint="eastAsia" w:ascii="宋体" w:hAnsi="宋体"/>
          <w:b/>
          <w:color w:val="auto"/>
          <w:sz w:val="24"/>
          <w:highlight w:val="none"/>
        </w:rPr>
        <w:t>遇政府调整职工最低工资标准或社会保险缴纳基数，</w:t>
      </w:r>
      <w:r>
        <w:rPr>
          <w:rFonts w:hint="eastAsia" w:ascii="宋体" w:hAnsi="宋体"/>
          <w:b/>
          <w:color w:val="auto"/>
          <w:sz w:val="24"/>
          <w:highlight w:val="none"/>
          <w:lang w:val="en-US" w:eastAsia="zh-CN"/>
        </w:rPr>
        <w:t>评标委员会进行符合性审查时</w:t>
      </w:r>
      <w:r>
        <w:rPr>
          <w:rFonts w:hint="eastAsia" w:ascii="宋体" w:hAnsi="宋体"/>
          <w:b/>
          <w:color w:val="auto"/>
          <w:sz w:val="24"/>
          <w:highlight w:val="none"/>
        </w:rPr>
        <w:t>可仍按上述标准</w:t>
      </w:r>
      <w:r>
        <w:rPr>
          <w:rFonts w:hint="eastAsia" w:ascii="宋体" w:hAnsi="宋体"/>
          <w:b/>
          <w:color w:val="auto"/>
          <w:sz w:val="24"/>
          <w:highlight w:val="none"/>
          <w:lang w:val="en-US" w:eastAsia="zh-CN"/>
        </w:rPr>
        <w:t>审查</w:t>
      </w:r>
      <w:r>
        <w:rPr>
          <w:rFonts w:hint="eastAsia" w:ascii="宋体" w:hAnsi="宋体"/>
          <w:b/>
          <w:color w:val="auto"/>
          <w:sz w:val="24"/>
          <w:highlight w:val="none"/>
        </w:rPr>
        <w:t>，中标后，</w:t>
      </w:r>
      <w:r>
        <w:rPr>
          <w:rFonts w:hint="eastAsia" w:ascii="宋体" w:hAnsi="宋体"/>
          <w:b/>
          <w:color w:val="auto"/>
          <w:sz w:val="24"/>
          <w:highlight w:val="none"/>
          <w:lang w:val="en-US" w:eastAsia="zh-CN"/>
        </w:rPr>
        <w:t>中标人应按照最新政策文件规定执行</w:t>
      </w:r>
      <w:r>
        <w:rPr>
          <w:rFonts w:hint="eastAsia" w:ascii="宋体" w:hAnsi="宋体"/>
          <w:b/>
          <w:color w:val="auto"/>
          <w:sz w:val="24"/>
          <w:highlight w:val="none"/>
        </w:rPr>
        <w:t>。</w:t>
      </w:r>
    </w:p>
    <w:p w14:paraId="1DFF3368">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w:t>
      </w:r>
    </w:p>
    <w:p w14:paraId="1BB0B3E5">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color w:val="auto"/>
          <w:highlight w:val="none"/>
        </w:rPr>
      </w:pPr>
      <w:r>
        <w:rPr>
          <w:color w:val="auto"/>
          <w:sz w:val="21"/>
          <w:szCs w:val="21"/>
          <w:highlight w:val="none"/>
        </w:rPr>
        <w:t> </w:t>
      </w:r>
    </w:p>
    <w:p w14:paraId="56E827E0">
      <w:pPr>
        <w:pStyle w:val="7"/>
        <w:spacing w:beforeAutospacing="0" w:afterAutospacing="0"/>
        <w:jc w:val="center"/>
        <w:rPr>
          <w:color w:val="auto"/>
          <w:highlight w:val="none"/>
        </w:rPr>
      </w:pPr>
    </w:p>
    <w:p w14:paraId="583F18A4">
      <w:pPr>
        <w:pStyle w:val="7"/>
        <w:spacing w:beforeAutospacing="0" w:afterAutospacing="0"/>
        <w:jc w:val="center"/>
        <w:rPr>
          <w:color w:val="auto"/>
          <w:highlight w:val="none"/>
        </w:rPr>
      </w:pPr>
    </w:p>
    <w:p w14:paraId="2621DA9E">
      <w:pPr>
        <w:pStyle w:val="7"/>
        <w:spacing w:beforeAutospacing="0" w:afterAutospacing="0"/>
        <w:jc w:val="center"/>
        <w:rPr>
          <w:color w:val="auto"/>
          <w:highlight w:val="none"/>
        </w:rPr>
      </w:pPr>
    </w:p>
    <w:p w14:paraId="757FBAE9">
      <w:pPr>
        <w:pStyle w:val="7"/>
        <w:spacing w:beforeAutospacing="0" w:afterAutospacing="0"/>
        <w:jc w:val="center"/>
        <w:rPr>
          <w:color w:val="auto"/>
          <w:highlight w:val="none"/>
        </w:rPr>
      </w:pPr>
    </w:p>
    <w:p w14:paraId="56D3ABB3">
      <w:pPr>
        <w:pStyle w:val="7"/>
        <w:spacing w:beforeAutospacing="0" w:afterAutospacing="0"/>
        <w:jc w:val="center"/>
        <w:rPr>
          <w:color w:val="auto"/>
          <w:highlight w:val="none"/>
        </w:rPr>
      </w:pPr>
      <w:r>
        <w:rPr>
          <w:color w:val="auto"/>
          <w:highlight w:val="none"/>
        </w:rPr>
        <w:t> </w:t>
      </w:r>
    </w:p>
    <w:p w14:paraId="79D17598">
      <w:pPr>
        <w:pStyle w:val="7"/>
        <w:spacing w:beforeAutospacing="0" w:afterAutospacing="0"/>
        <w:jc w:val="center"/>
        <w:rPr>
          <w:color w:val="auto"/>
          <w:highlight w:val="none"/>
        </w:rPr>
      </w:pPr>
      <w:r>
        <w:rPr>
          <w:color w:val="auto"/>
          <w:highlight w:val="none"/>
        </w:rPr>
        <w:t> </w:t>
      </w:r>
    </w:p>
    <w:p w14:paraId="61229A1E">
      <w:pPr>
        <w:pStyle w:val="7"/>
        <w:spacing w:beforeAutospacing="0" w:afterAutospacing="0"/>
        <w:jc w:val="center"/>
        <w:rPr>
          <w:color w:val="auto"/>
          <w:highlight w:val="none"/>
        </w:rPr>
      </w:pPr>
      <w:r>
        <w:rPr>
          <w:color w:val="auto"/>
          <w:highlight w:val="none"/>
        </w:rPr>
        <w:t> </w:t>
      </w:r>
    </w:p>
    <w:p w14:paraId="6E68E53F">
      <w:pPr>
        <w:pStyle w:val="7"/>
        <w:spacing w:beforeAutospacing="0" w:afterAutospacing="0"/>
        <w:jc w:val="center"/>
        <w:rPr>
          <w:color w:val="auto"/>
          <w:highlight w:val="none"/>
        </w:rPr>
      </w:pPr>
      <w:r>
        <w:rPr>
          <w:color w:val="auto"/>
          <w:highlight w:val="none"/>
        </w:rPr>
        <w:t> </w:t>
      </w:r>
    </w:p>
    <w:p w14:paraId="76A55F08">
      <w:pPr>
        <w:pStyle w:val="7"/>
        <w:spacing w:beforeAutospacing="0" w:afterAutospacing="0"/>
        <w:jc w:val="center"/>
        <w:rPr>
          <w:color w:val="auto"/>
          <w:highlight w:val="none"/>
        </w:rPr>
      </w:pPr>
      <w:r>
        <w:rPr>
          <w:color w:val="auto"/>
          <w:highlight w:val="none"/>
        </w:rPr>
        <w:t> </w:t>
      </w:r>
    </w:p>
    <w:p w14:paraId="38E5550C">
      <w:pPr>
        <w:pStyle w:val="7"/>
        <w:spacing w:beforeAutospacing="0" w:afterAutospacing="0"/>
        <w:jc w:val="center"/>
        <w:rPr>
          <w:color w:val="auto"/>
          <w:highlight w:val="none"/>
        </w:rPr>
      </w:pPr>
    </w:p>
    <w:p w14:paraId="137500AC">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0307068A">
      <w:pPr>
        <w:pStyle w:val="7"/>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三</w:t>
      </w:r>
      <w:r>
        <w:rPr>
          <w:rFonts w:hint="eastAsia" w:ascii="黑体" w:hAnsi="宋体" w:eastAsia="黑体" w:cs="黑体"/>
          <w:b/>
          <w:color w:val="auto"/>
          <w:sz w:val="32"/>
          <w:szCs w:val="32"/>
          <w:highlight w:val="none"/>
        </w:rPr>
        <w:t>、技术要求响应及偏离表（分包号：**）</w:t>
      </w:r>
    </w:p>
    <w:tbl>
      <w:tblPr>
        <w:tblStyle w:val="9"/>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6354AA44">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ECD6C">
            <w:pPr>
              <w:pStyle w:val="7"/>
              <w:spacing w:beforeAutospacing="0" w:afterAutospacing="0"/>
              <w:jc w:val="center"/>
              <w:rPr>
                <w:color w:val="auto"/>
                <w:sz w:val="21"/>
                <w:szCs w:val="21"/>
                <w:highlight w:val="none"/>
              </w:rPr>
            </w:pPr>
            <w:r>
              <w:rPr>
                <w:rFonts w:hint="eastAsia" w:ascii="宋体" w:hAnsi="宋体" w:eastAsia="宋体" w:cs="宋体"/>
                <w:color w:val="auto"/>
                <w:sz w:val="21"/>
                <w:szCs w:val="21"/>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3063F">
            <w:pPr>
              <w:pStyle w:val="7"/>
              <w:spacing w:beforeAutospacing="0" w:afterAutospacing="0"/>
              <w:jc w:val="center"/>
              <w:rPr>
                <w:color w:val="auto"/>
                <w:sz w:val="21"/>
                <w:szCs w:val="21"/>
                <w:highlight w:val="none"/>
              </w:rPr>
            </w:pPr>
            <w:r>
              <w:rPr>
                <w:rFonts w:hint="eastAsia" w:ascii="宋体" w:hAnsi="宋体" w:eastAsia="宋体" w:cs="宋体"/>
                <w:color w:val="auto"/>
                <w:sz w:val="21"/>
                <w:szCs w:val="21"/>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44363">
            <w:pPr>
              <w:pStyle w:val="7"/>
              <w:spacing w:beforeAutospacing="0" w:afterAutospacing="0"/>
              <w:jc w:val="center"/>
              <w:rPr>
                <w:color w:val="auto"/>
                <w:sz w:val="21"/>
                <w:szCs w:val="21"/>
                <w:highlight w:val="none"/>
              </w:rPr>
            </w:pPr>
            <w:r>
              <w:rPr>
                <w:rFonts w:hint="eastAsia" w:ascii="宋体" w:hAnsi="宋体" w:eastAsia="宋体" w:cs="宋体"/>
                <w:color w:val="auto"/>
                <w:sz w:val="21"/>
                <w:szCs w:val="21"/>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67A7B">
            <w:pPr>
              <w:pStyle w:val="7"/>
              <w:spacing w:beforeAutospacing="0" w:afterAutospacing="0"/>
              <w:jc w:val="center"/>
              <w:rPr>
                <w:color w:val="auto"/>
                <w:sz w:val="21"/>
                <w:szCs w:val="21"/>
                <w:highlight w:val="none"/>
              </w:rPr>
            </w:pPr>
            <w:r>
              <w:rPr>
                <w:rFonts w:hint="eastAsia" w:ascii="宋体" w:hAnsi="宋体" w:eastAsia="宋体" w:cs="宋体"/>
                <w:color w:val="auto"/>
                <w:sz w:val="21"/>
                <w:szCs w:val="21"/>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CC78B">
            <w:pPr>
              <w:pStyle w:val="7"/>
              <w:spacing w:beforeAutospacing="0" w:afterAutospacing="0"/>
              <w:jc w:val="center"/>
              <w:rPr>
                <w:color w:val="auto"/>
                <w:sz w:val="21"/>
                <w:szCs w:val="21"/>
                <w:highlight w:val="none"/>
              </w:rPr>
            </w:pPr>
            <w:r>
              <w:rPr>
                <w:rFonts w:hint="eastAsia" w:ascii="宋体" w:hAnsi="宋体" w:eastAsia="宋体" w:cs="宋体"/>
                <w:color w:val="auto"/>
                <w:sz w:val="21"/>
                <w:szCs w:val="21"/>
                <w:highlight w:val="none"/>
              </w:rPr>
              <w:t>证明</w:t>
            </w:r>
          </w:p>
          <w:p w14:paraId="4E9F13B0">
            <w:pPr>
              <w:pStyle w:val="7"/>
              <w:spacing w:beforeAutospacing="0" w:afterAutospacing="0"/>
              <w:jc w:val="center"/>
              <w:rPr>
                <w:color w:val="auto"/>
                <w:sz w:val="21"/>
                <w:szCs w:val="21"/>
                <w:highlight w:val="none"/>
              </w:rPr>
            </w:pPr>
            <w:r>
              <w:rPr>
                <w:rFonts w:hint="eastAsia" w:ascii="宋体" w:hAnsi="宋体" w:eastAsia="宋体" w:cs="宋体"/>
                <w:color w:val="auto"/>
                <w:sz w:val="21"/>
                <w:szCs w:val="21"/>
                <w:highlight w:val="none"/>
              </w:rPr>
              <w:t>材料</w:t>
            </w:r>
          </w:p>
        </w:tc>
      </w:tr>
      <w:tr w14:paraId="73AAF87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BA945">
            <w:pPr>
              <w:pStyle w:val="7"/>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FB785">
            <w:pPr>
              <w:pStyle w:val="7"/>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7AD05">
            <w:pPr>
              <w:pStyle w:val="7"/>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8C7D6">
            <w:pPr>
              <w:pStyle w:val="7"/>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45DD9">
            <w:pPr>
              <w:pStyle w:val="7"/>
              <w:spacing w:beforeAutospacing="0" w:afterAutospacing="0"/>
              <w:jc w:val="center"/>
              <w:rPr>
                <w:color w:val="auto"/>
                <w:sz w:val="21"/>
                <w:szCs w:val="21"/>
                <w:highlight w:val="none"/>
              </w:rPr>
            </w:pPr>
            <w:r>
              <w:rPr>
                <w:color w:val="auto"/>
                <w:sz w:val="21"/>
                <w:szCs w:val="21"/>
                <w:highlight w:val="none"/>
              </w:rPr>
              <w:t> </w:t>
            </w:r>
          </w:p>
        </w:tc>
      </w:tr>
      <w:tr w14:paraId="644C030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8BCDD">
            <w:pPr>
              <w:pStyle w:val="7"/>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512B4">
            <w:pPr>
              <w:pStyle w:val="7"/>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CD9F0">
            <w:pPr>
              <w:pStyle w:val="7"/>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F2599">
            <w:pPr>
              <w:pStyle w:val="7"/>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1550F">
            <w:pPr>
              <w:pStyle w:val="7"/>
              <w:spacing w:beforeAutospacing="0" w:afterAutospacing="0"/>
              <w:jc w:val="center"/>
              <w:rPr>
                <w:color w:val="auto"/>
                <w:sz w:val="21"/>
                <w:szCs w:val="21"/>
                <w:highlight w:val="none"/>
              </w:rPr>
            </w:pPr>
            <w:r>
              <w:rPr>
                <w:color w:val="auto"/>
                <w:sz w:val="21"/>
                <w:szCs w:val="21"/>
                <w:highlight w:val="none"/>
              </w:rPr>
              <w:t> </w:t>
            </w:r>
          </w:p>
        </w:tc>
      </w:tr>
      <w:tr w14:paraId="5DF2160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78DDF">
            <w:pPr>
              <w:pStyle w:val="7"/>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8D7EE">
            <w:pPr>
              <w:pStyle w:val="7"/>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CE63D">
            <w:pPr>
              <w:pStyle w:val="7"/>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A3A6D">
            <w:pPr>
              <w:pStyle w:val="7"/>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077B8">
            <w:pPr>
              <w:pStyle w:val="7"/>
              <w:spacing w:beforeAutospacing="0" w:afterAutospacing="0"/>
              <w:jc w:val="center"/>
              <w:rPr>
                <w:color w:val="auto"/>
                <w:sz w:val="21"/>
                <w:szCs w:val="21"/>
                <w:highlight w:val="none"/>
              </w:rPr>
            </w:pPr>
            <w:r>
              <w:rPr>
                <w:color w:val="auto"/>
                <w:sz w:val="21"/>
                <w:szCs w:val="21"/>
                <w:highlight w:val="none"/>
              </w:rPr>
              <w:t> </w:t>
            </w:r>
          </w:p>
        </w:tc>
      </w:tr>
      <w:tr w14:paraId="3E8377C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D3D91">
            <w:pPr>
              <w:pStyle w:val="7"/>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9E601">
            <w:pPr>
              <w:pStyle w:val="7"/>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10987">
            <w:pPr>
              <w:pStyle w:val="7"/>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0C37B">
            <w:pPr>
              <w:pStyle w:val="7"/>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ECE5B">
            <w:pPr>
              <w:pStyle w:val="7"/>
              <w:spacing w:beforeAutospacing="0" w:afterAutospacing="0"/>
              <w:jc w:val="center"/>
              <w:rPr>
                <w:color w:val="auto"/>
                <w:sz w:val="21"/>
                <w:szCs w:val="21"/>
                <w:highlight w:val="none"/>
              </w:rPr>
            </w:pPr>
            <w:r>
              <w:rPr>
                <w:color w:val="auto"/>
                <w:sz w:val="21"/>
                <w:szCs w:val="21"/>
                <w:highlight w:val="none"/>
              </w:rPr>
              <w:t> </w:t>
            </w:r>
          </w:p>
        </w:tc>
      </w:tr>
      <w:tr w14:paraId="0282FE1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D44CE">
            <w:pPr>
              <w:pStyle w:val="7"/>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74FEA">
            <w:pPr>
              <w:pStyle w:val="7"/>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AD68C">
            <w:pPr>
              <w:pStyle w:val="7"/>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43010">
            <w:pPr>
              <w:pStyle w:val="7"/>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733FC">
            <w:pPr>
              <w:pStyle w:val="7"/>
              <w:spacing w:beforeAutospacing="0" w:afterAutospacing="0"/>
              <w:jc w:val="center"/>
              <w:rPr>
                <w:color w:val="auto"/>
                <w:sz w:val="21"/>
                <w:szCs w:val="21"/>
                <w:highlight w:val="none"/>
              </w:rPr>
            </w:pPr>
            <w:r>
              <w:rPr>
                <w:color w:val="auto"/>
                <w:sz w:val="21"/>
                <w:szCs w:val="21"/>
                <w:highlight w:val="none"/>
              </w:rPr>
              <w:t> </w:t>
            </w:r>
          </w:p>
        </w:tc>
      </w:tr>
      <w:tr w14:paraId="1456920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AC6CC">
            <w:pPr>
              <w:pStyle w:val="7"/>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A6CEA">
            <w:pPr>
              <w:pStyle w:val="7"/>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70982">
            <w:pPr>
              <w:pStyle w:val="7"/>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E9231">
            <w:pPr>
              <w:pStyle w:val="7"/>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B2BCD">
            <w:pPr>
              <w:pStyle w:val="7"/>
              <w:spacing w:beforeAutospacing="0" w:afterAutospacing="0"/>
              <w:jc w:val="center"/>
              <w:rPr>
                <w:color w:val="auto"/>
                <w:sz w:val="21"/>
                <w:szCs w:val="21"/>
                <w:highlight w:val="none"/>
              </w:rPr>
            </w:pPr>
            <w:r>
              <w:rPr>
                <w:color w:val="auto"/>
                <w:sz w:val="21"/>
                <w:szCs w:val="21"/>
                <w:highlight w:val="none"/>
              </w:rPr>
              <w:t> </w:t>
            </w:r>
          </w:p>
        </w:tc>
      </w:tr>
      <w:tr w14:paraId="757E7BB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71799">
            <w:pPr>
              <w:pStyle w:val="7"/>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9285C">
            <w:pPr>
              <w:pStyle w:val="7"/>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13C0A">
            <w:pPr>
              <w:pStyle w:val="7"/>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AFBCD">
            <w:pPr>
              <w:pStyle w:val="7"/>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9C7ED">
            <w:pPr>
              <w:pStyle w:val="7"/>
              <w:spacing w:beforeAutospacing="0" w:afterAutospacing="0"/>
              <w:jc w:val="center"/>
              <w:rPr>
                <w:color w:val="auto"/>
                <w:sz w:val="21"/>
                <w:szCs w:val="21"/>
                <w:highlight w:val="none"/>
              </w:rPr>
            </w:pPr>
            <w:r>
              <w:rPr>
                <w:color w:val="auto"/>
                <w:sz w:val="21"/>
                <w:szCs w:val="21"/>
                <w:highlight w:val="none"/>
              </w:rPr>
              <w:t> </w:t>
            </w:r>
          </w:p>
        </w:tc>
      </w:tr>
      <w:tr w14:paraId="0F5AFC8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25D15">
            <w:pPr>
              <w:pStyle w:val="7"/>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51A04">
            <w:pPr>
              <w:pStyle w:val="7"/>
              <w:spacing w:beforeAutospacing="0" w:afterAutospacing="0"/>
              <w:jc w:val="center"/>
              <w:rPr>
                <w:color w:val="auto"/>
                <w:sz w:val="21"/>
                <w:szCs w:val="21"/>
                <w:highlight w:val="none"/>
              </w:rPr>
            </w:pPr>
            <w:r>
              <w:rPr>
                <w:rFonts w:hint="eastAsia" w:ascii="宋体" w:hAnsi="宋体" w:eastAsia="宋体" w:cs="宋体"/>
                <w:color w:val="auto"/>
                <w:sz w:val="21"/>
                <w:szCs w:val="21"/>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B70ED">
            <w:pPr>
              <w:pStyle w:val="7"/>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3B513">
            <w:pPr>
              <w:pStyle w:val="7"/>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0D32E">
            <w:pPr>
              <w:pStyle w:val="7"/>
              <w:spacing w:beforeAutospacing="0" w:afterAutospacing="0"/>
              <w:jc w:val="center"/>
              <w:rPr>
                <w:color w:val="auto"/>
                <w:sz w:val="21"/>
                <w:szCs w:val="21"/>
                <w:highlight w:val="none"/>
              </w:rPr>
            </w:pPr>
            <w:r>
              <w:rPr>
                <w:color w:val="auto"/>
                <w:sz w:val="21"/>
                <w:szCs w:val="21"/>
                <w:highlight w:val="none"/>
              </w:rPr>
              <w:t> </w:t>
            </w:r>
          </w:p>
        </w:tc>
      </w:tr>
    </w:tbl>
    <w:p w14:paraId="14CF68BC">
      <w:pPr>
        <w:pStyle w:val="7"/>
        <w:spacing w:beforeAutospacing="0" w:afterAutospacing="0"/>
        <w:jc w:val="both"/>
        <w:rPr>
          <w:color w:val="auto"/>
          <w:sz w:val="21"/>
          <w:szCs w:val="21"/>
          <w:highlight w:val="none"/>
        </w:rPr>
      </w:pPr>
      <w:r>
        <w:rPr>
          <w:rFonts w:hint="eastAsia" w:ascii="宋体" w:hAnsi="宋体" w:eastAsia="宋体" w:cs="宋体"/>
          <w:color w:val="auto"/>
          <w:sz w:val="21"/>
          <w:szCs w:val="21"/>
          <w:highlight w:val="none"/>
        </w:rPr>
        <w:t>注： 行数不够，可自行添加。</w:t>
      </w:r>
    </w:p>
    <w:p w14:paraId="2122723A">
      <w:pPr>
        <w:pStyle w:val="7"/>
        <w:spacing w:beforeAutospacing="0" w:afterAutospacing="0"/>
        <w:jc w:val="center"/>
        <w:rPr>
          <w:color w:val="auto"/>
          <w:sz w:val="21"/>
          <w:szCs w:val="21"/>
          <w:highlight w:val="none"/>
        </w:rPr>
      </w:pPr>
      <w:r>
        <w:rPr>
          <w:color w:val="auto"/>
          <w:sz w:val="21"/>
          <w:szCs w:val="21"/>
          <w:highlight w:val="none"/>
        </w:rPr>
        <w:t> </w:t>
      </w:r>
    </w:p>
    <w:p w14:paraId="62981231">
      <w:pPr>
        <w:pStyle w:val="7"/>
        <w:spacing w:beforeAutospacing="0" w:afterAutospacing="0"/>
        <w:jc w:val="center"/>
        <w:rPr>
          <w:color w:val="auto"/>
          <w:sz w:val="21"/>
          <w:szCs w:val="21"/>
          <w:highlight w:val="none"/>
        </w:rPr>
      </w:pPr>
      <w:r>
        <w:rPr>
          <w:color w:val="auto"/>
          <w:sz w:val="21"/>
          <w:szCs w:val="21"/>
          <w:highlight w:val="none"/>
        </w:rPr>
        <w:t> </w:t>
      </w:r>
    </w:p>
    <w:p w14:paraId="78FA8F2B">
      <w:pPr>
        <w:pStyle w:val="7"/>
        <w:spacing w:beforeAutospacing="0" w:afterAutospacing="0"/>
        <w:jc w:val="center"/>
        <w:rPr>
          <w:color w:val="auto"/>
          <w:sz w:val="21"/>
          <w:szCs w:val="21"/>
          <w:highlight w:val="none"/>
        </w:rPr>
      </w:pPr>
      <w:r>
        <w:rPr>
          <w:color w:val="auto"/>
          <w:sz w:val="21"/>
          <w:szCs w:val="21"/>
          <w:highlight w:val="none"/>
        </w:rPr>
        <w:t> </w:t>
      </w:r>
    </w:p>
    <w:p w14:paraId="033DB382">
      <w:pPr>
        <w:pStyle w:val="7"/>
        <w:spacing w:beforeAutospacing="0" w:afterAutospacing="0"/>
        <w:jc w:val="center"/>
        <w:rPr>
          <w:color w:val="auto"/>
          <w:sz w:val="21"/>
          <w:szCs w:val="21"/>
          <w:highlight w:val="none"/>
        </w:rPr>
      </w:pPr>
      <w:r>
        <w:rPr>
          <w:color w:val="auto"/>
          <w:sz w:val="21"/>
          <w:szCs w:val="21"/>
          <w:highlight w:val="none"/>
        </w:rPr>
        <w:t> </w:t>
      </w:r>
    </w:p>
    <w:p w14:paraId="30035BA5">
      <w:pPr>
        <w:pStyle w:val="7"/>
        <w:spacing w:beforeAutospacing="0" w:afterAutospacing="0"/>
        <w:jc w:val="both"/>
        <w:rPr>
          <w:color w:val="auto"/>
          <w:sz w:val="21"/>
          <w:szCs w:val="21"/>
          <w:highlight w:val="none"/>
        </w:rPr>
      </w:pPr>
      <w:r>
        <w:rPr>
          <w:color w:val="auto"/>
          <w:sz w:val="21"/>
          <w:szCs w:val="21"/>
          <w:highlight w:val="none"/>
        </w:rPr>
        <w:t> </w:t>
      </w:r>
    </w:p>
    <w:p w14:paraId="06631BFA">
      <w:pPr>
        <w:pStyle w:val="7"/>
        <w:spacing w:beforeAutospacing="0" w:afterAutospacing="0"/>
        <w:jc w:val="both"/>
        <w:rPr>
          <w:color w:val="auto"/>
          <w:sz w:val="21"/>
          <w:szCs w:val="21"/>
          <w:highlight w:val="none"/>
        </w:rPr>
      </w:pPr>
      <w:r>
        <w:rPr>
          <w:color w:val="auto"/>
          <w:sz w:val="21"/>
          <w:szCs w:val="21"/>
          <w:highlight w:val="none"/>
        </w:rPr>
        <w:t> </w:t>
      </w:r>
    </w:p>
    <w:p w14:paraId="4EA2C0CA">
      <w:pPr>
        <w:pStyle w:val="7"/>
        <w:spacing w:beforeAutospacing="0" w:afterAutospacing="0"/>
        <w:jc w:val="both"/>
        <w:rPr>
          <w:color w:val="auto"/>
          <w:sz w:val="21"/>
          <w:szCs w:val="21"/>
          <w:highlight w:val="none"/>
        </w:rPr>
      </w:pPr>
      <w:r>
        <w:rPr>
          <w:color w:val="auto"/>
          <w:sz w:val="21"/>
          <w:szCs w:val="21"/>
          <w:highlight w:val="none"/>
        </w:rPr>
        <w:t> </w:t>
      </w:r>
    </w:p>
    <w:p w14:paraId="02D7DF11">
      <w:pPr>
        <w:pStyle w:val="7"/>
        <w:spacing w:beforeAutospacing="0" w:afterAutospacing="0"/>
        <w:jc w:val="both"/>
        <w:rPr>
          <w:color w:val="auto"/>
          <w:sz w:val="21"/>
          <w:szCs w:val="21"/>
          <w:highlight w:val="none"/>
        </w:rPr>
      </w:pPr>
      <w:r>
        <w:rPr>
          <w:color w:val="auto"/>
          <w:sz w:val="21"/>
          <w:szCs w:val="21"/>
          <w:highlight w:val="none"/>
        </w:rPr>
        <w:t> </w:t>
      </w:r>
    </w:p>
    <w:p w14:paraId="09610A26">
      <w:pPr>
        <w:pStyle w:val="7"/>
        <w:spacing w:beforeAutospacing="0" w:afterAutospacing="0"/>
        <w:jc w:val="both"/>
        <w:rPr>
          <w:color w:val="auto"/>
          <w:sz w:val="21"/>
          <w:szCs w:val="21"/>
          <w:highlight w:val="none"/>
        </w:rPr>
      </w:pPr>
    </w:p>
    <w:p w14:paraId="35417761">
      <w:pPr>
        <w:pStyle w:val="7"/>
        <w:spacing w:beforeAutospacing="0" w:afterAutospacing="0"/>
        <w:jc w:val="both"/>
        <w:rPr>
          <w:color w:val="auto"/>
          <w:highlight w:val="none"/>
        </w:rPr>
      </w:pPr>
    </w:p>
    <w:p w14:paraId="039F6D32">
      <w:pPr>
        <w:pStyle w:val="7"/>
        <w:spacing w:beforeAutospacing="0" w:afterAutospacing="0"/>
        <w:jc w:val="both"/>
        <w:rPr>
          <w:color w:val="auto"/>
          <w:highlight w:val="none"/>
        </w:rPr>
      </w:pPr>
    </w:p>
    <w:p w14:paraId="5219F146">
      <w:pPr>
        <w:pStyle w:val="7"/>
        <w:spacing w:beforeAutospacing="0" w:afterAutospacing="0"/>
        <w:jc w:val="both"/>
        <w:rPr>
          <w:color w:val="auto"/>
          <w:highlight w:val="none"/>
        </w:rPr>
      </w:pPr>
    </w:p>
    <w:p w14:paraId="68E99A53">
      <w:pPr>
        <w:pStyle w:val="7"/>
        <w:spacing w:beforeAutospacing="0" w:afterAutospacing="0"/>
        <w:jc w:val="both"/>
        <w:rPr>
          <w:color w:val="auto"/>
          <w:highlight w:val="none"/>
        </w:rPr>
      </w:pPr>
    </w:p>
    <w:p w14:paraId="155E1B72">
      <w:pPr>
        <w:pStyle w:val="7"/>
        <w:spacing w:beforeAutospacing="0" w:afterAutospacing="0"/>
        <w:jc w:val="both"/>
        <w:rPr>
          <w:color w:val="auto"/>
          <w:highlight w:val="none"/>
        </w:rPr>
      </w:pPr>
    </w:p>
    <w:p w14:paraId="33F11FAC">
      <w:pPr>
        <w:pStyle w:val="7"/>
        <w:spacing w:beforeAutospacing="0" w:afterAutospacing="0"/>
        <w:jc w:val="both"/>
        <w:rPr>
          <w:color w:val="auto"/>
          <w:highlight w:val="none"/>
        </w:rPr>
      </w:pPr>
    </w:p>
    <w:p w14:paraId="3D1E9370">
      <w:pPr>
        <w:pStyle w:val="7"/>
        <w:spacing w:beforeAutospacing="0" w:afterAutospacing="0"/>
        <w:jc w:val="both"/>
        <w:rPr>
          <w:color w:val="auto"/>
          <w:highlight w:val="none"/>
        </w:rPr>
      </w:pPr>
    </w:p>
    <w:p w14:paraId="56F67DB0">
      <w:pPr>
        <w:pStyle w:val="7"/>
        <w:spacing w:beforeAutospacing="0" w:afterAutospacing="0"/>
        <w:jc w:val="both"/>
        <w:rPr>
          <w:color w:val="auto"/>
          <w:highlight w:val="none"/>
        </w:rPr>
      </w:pPr>
    </w:p>
    <w:p w14:paraId="54153009">
      <w:pPr>
        <w:pStyle w:val="7"/>
        <w:spacing w:beforeAutospacing="0" w:afterAutospacing="0"/>
        <w:jc w:val="both"/>
        <w:rPr>
          <w:color w:val="auto"/>
          <w:highlight w:val="none"/>
        </w:rPr>
      </w:pPr>
    </w:p>
    <w:p w14:paraId="794198E4">
      <w:pPr>
        <w:pStyle w:val="7"/>
        <w:spacing w:beforeAutospacing="0" w:afterAutospacing="0"/>
        <w:jc w:val="both"/>
        <w:rPr>
          <w:color w:val="auto"/>
          <w:highlight w:val="none"/>
        </w:rPr>
      </w:pPr>
    </w:p>
    <w:p w14:paraId="020C6F7C">
      <w:pPr>
        <w:pStyle w:val="7"/>
        <w:spacing w:beforeAutospacing="0" w:afterAutospacing="0"/>
        <w:jc w:val="both"/>
        <w:rPr>
          <w:color w:val="auto"/>
          <w:highlight w:val="none"/>
        </w:rPr>
      </w:pPr>
    </w:p>
    <w:p w14:paraId="0A8328A4">
      <w:pPr>
        <w:pStyle w:val="7"/>
        <w:spacing w:beforeAutospacing="0" w:afterAutospacing="0"/>
        <w:jc w:val="both"/>
        <w:rPr>
          <w:color w:val="auto"/>
          <w:highlight w:val="none"/>
        </w:rPr>
      </w:pPr>
    </w:p>
    <w:p w14:paraId="7D41FA54">
      <w:pPr>
        <w:pStyle w:val="7"/>
        <w:spacing w:beforeAutospacing="0" w:afterAutospacing="0"/>
        <w:jc w:val="both"/>
        <w:rPr>
          <w:color w:val="auto"/>
          <w:highlight w:val="none"/>
        </w:rPr>
      </w:pPr>
      <w:r>
        <w:rPr>
          <w:color w:val="auto"/>
          <w:highlight w:val="none"/>
        </w:rPr>
        <w:t> </w:t>
      </w:r>
    </w:p>
    <w:p w14:paraId="5615137B">
      <w:pPr>
        <w:pStyle w:val="7"/>
        <w:spacing w:beforeAutospacing="0" w:afterAutospacing="0"/>
        <w:jc w:val="center"/>
        <w:rPr>
          <w:color w:val="auto"/>
          <w:highlight w:val="none"/>
        </w:rPr>
      </w:pPr>
      <w:bookmarkStart w:id="190" w:name="_Hlt26955054"/>
      <w:r>
        <w:rPr>
          <w:rFonts w:hint="eastAsia" w:ascii="黑体" w:hAnsi="宋体" w:eastAsia="黑体" w:cs="黑体"/>
          <w:b/>
          <w:color w:val="auto"/>
          <w:sz w:val="32"/>
          <w:szCs w:val="32"/>
          <w:highlight w:val="none"/>
          <w:lang w:val="en-US" w:eastAsia="zh-CN"/>
        </w:rPr>
        <w:t>十四</w:t>
      </w:r>
      <w:r>
        <w:rPr>
          <w:rFonts w:hint="eastAsia" w:ascii="黑体" w:hAnsi="宋体" w:eastAsia="黑体" w:cs="黑体"/>
          <w:b/>
          <w:color w:val="auto"/>
          <w:sz w:val="32"/>
          <w:szCs w:val="32"/>
          <w:highlight w:val="none"/>
        </w:rPr>
        <w:t>、商务要求响应及偏离表（分包号：**）</w:t>
      </w:r>
    </w:p>
    <w:tbl>
      <w:tblPr>
        <w:tblStyle w:val="9"/>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3E46527D">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9B9EF">
            <w:pPr>
              <w:pStyle w:val="7"/>
              <w:spacing w:beforeAutospacing="0" w:afterAutospacing="0"/>
              <w:jc w:val="center"/>
              <w:rPr>
                <w:color w:val="auto"/>
                <w:highlight w:val="none"/>
              </w:rPr>
            </w:pPr>
            <w:bookmarkStart w:id="191" w:name="_Hlt26782999"/>
            <w:bookmarkStart w:id="192" w:name="_Hlt26580838"/>
            <w:bookmarkStart w:id="193" w:name="_Hlt26609391"/>
            <w:bookmarkStart w:id="194" w:name="_Hlt26955056"/>
            <w:bookmarkStart w:id="195" w:name="_Hlt26671372"/>
            <w:bookmarkStart w:id="196" w:name="_Hlt24879081"/>
            <w:bookmarkStart w:id="197" w:name="_Hlt26671343"/>
            <w:bookmarkStart w:id="198" w:name="_Hlt26955064"/>
            <w:r>
              <w:rPr>
                <w:rFonts w:hint="eastAsia" w:ascii="宋体" w:hAnsi="宋体" w:eastAsia="宋体" w:cs="宋体"/>
                <w:color w:val="auto"/>
                <w:highlight w:val="none"/>
              </w:rPr>
              <w:t>序号</w:t>
            </w:r>
          </w:p>
          <w:bookmarkEnd w:id="191"/>
          <w:bookmarkEnd w:id="192"/>
          <w:bookmarkEnd w:id="193"/>
          <w:bookmarkEnd w:id="194"/>
          <w:bookmarkEnd w:id="195"/>
          <w:bookmarkEnd w:id="196"/>
          <w:bookmarkEnd w:id="197"/>
          <w:bookmarkEnd w:id="198"/>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23808">
            <w:pPr>
              <w:pStyle w:val="7"/>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EF6F0">
            <w:pPr>
              <w:pStyle w:val="7"/>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9CA96">
            <w:pPr>
              <w:pStyle w:val="7"/>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75294">
            <w:pPr>
              <w:pStyle w:val="7"/>
              <w:spacing w:beforeAutospacing="0" w:afterAutospacing="0"/>
              <w:jc w:val="center"/>
              <w:rPr>
                <w:color w:val="auto"/>
                <w:highlight w:val="none"/>
              </w:rPr>
            </w:pPr>
            <w:r>
              <w:rPr>
                <w:rFonts w:hint="eastAsia" w:ascii="宋体" w:hAnsi="宋体" w:eastAsia="宋体" w:cs="宋体"/>
                <w:color w:val="auto"/>
                <w:highlight w:val="none"/>
              </w:rPr>
              <w:t>证明</w:t>
            </w:r>
          </w:p>
          <w:p w14:paraId="4A36B437">
            <w:pPr>
              <w:pStyle w:val="7"/>
              <w:spacing w:beforeAutospacing="0" w:afterAutospacing="0"/>
              <w:jc w:val="center"/>
              <w:rPr>
                <w:color w:val="auto"/>
                <w:highlight w:val="none"/>
              </w:rPr>
            </w:pPr>
            <w:r>
              <w:rPr>
                <w:rFonts w:hint="eastAsia" w:ascii="宋体" w:hAnsi="宋体" w:eastAsia="宋体" w:cs="宋体"/>
                <w:color w:val="auto"/>
                <w:highlight w:val="none"/>
              </w:rPr>
              <w:t>材料</w:t>
            </w:r>
          </w:p>
        </w:tc>
      </w:tr>
      <w:tr w14:paraId="0F7914B3">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2D4A6">
            <w:pPr>
              <w:pStyle w:val="7"/>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F7663">
            <w:pPr>
              <w:pStyle w:val="7"/>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3971B">
            <w:pPr>
              <w:pStyle w:val="7"/>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27F46">
            <w:pPr>
              <w:pStyle w:val="7"/>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7A9E8">
            <w:pPr>
              <w:pStyle w:val="7"/>
              <w:spacing w:beforeAutospacing="0" w:afterAutospacing="0"/>
              <w:jc w:val="center"/>
              <w:rPr>
                <w:color w:val="auto"/>
                <w:highlight w:val="none"/>
              </w:rPr>
            </w:pPr>
            <w:r>
              <w:rPr>
                <w:color w:val="auto"/>
                <w:highlight w:val="none"/>
              </w:rPr>
              <w:t> </w:t>
            </w:r>
          </w:p>
        </w:tc>
      </w:tr>
      <w:tr w14:paraId="3794CD4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99CFF">
            <w:pPr>
              <w:pStyle w:val="7"/>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06DD6">
            <w:pPr>
              <w:pStyle w:val="7"/>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48B2F">
            <w:pPr>
              <w:pStyle w:val="7"/>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D4844">
            <w:pPr>
              <w:pStyle w:val="7"/>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B97FD">
            <w:pPr>
              <w:pStyle w:val="7"/>
              <w:spacing w:beforeAutospacing="0" w:afterAutospacing="0"/>
              <w:jc w:val="center"/>
              <w:rPr>
                <w:color w:val="auto"/>
                <w:highlight w:val="none"/>
              </w:rPr>
            </w:pPr>
            <w:r>
              <w:rPr>
                <w:color w:val="auto"/>
                <w:highlight w:val="none"/>
              </w:rPr>
              <w:t> </w:t>
            </w:r>
          </w:p>
        </w:tc>
      </w:tr>
      <w:tr w14:paraId="78C6BE03">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89D80">
            <w:pPr>
              <w:pStyle w:val="7"/>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644C8">
            <w:pPr>
              <w:pStyle w:val="7"/>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64B73">
            <w:pPr>
              <w:pStyle w:val="7"/>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121E2">
            <w:pPr>
              <w:pStyle w:val="7"/>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D4FE0">
            <w:pPr>
              <w:pStyle w:val="7"/>
              <w:spacing w:beforeAutospacing="0" w:afterAutospacing="0"/>
              <w:jc w:val="center"/>
              <w:rPr>
                <w:color w:val="auto"/>
                <w:highlight w:val="none"/>
              </w:rPr>
            </w:pPr>
            <w:r>
              <w:rPr>
                <w:color w:val="auto"/>
                <w:highlight w:val="none"/>
              </w:rPr>
              <w:t> </w:t>
            </w:r>
          </w:p>
        </w:tc>
      </w:tr>
      <w:tr w14:paraId="6CC6392D">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9CC74">
            <w:pPr>
              <w:pStyle w:val="7"/>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BC050">
            <w:pPr>
              <w:pStyle w:val="7"/>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7D2F8">
            <w:pPr>
              <w:pStyle w:val="7"/>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5EAA6">
            <w:pPr>
              <w:pStyle w:val="7"/>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6FFA2">
            <w:pPr>
              <w:pStyle w:val="7"/>
              <w:spacing w:beforeAutospacing="0" w:afterAutospacing="0"/>
              <w:jc w:val="center"/>
              <w:rPr>
                <w:color w:val="auto"/>
                <w:highlight w:val="none"/>
              </w:rPr>
            </w:pPr>
            <w:r>
              <w:rPr>
                <w:color w:val="auto"/>
                <w:highlight w:val="none"/>
              </w:rPr>
              <w:t> </w:t>
            </w:r>
          </w:p>
        </w:tc>
      </w:tr>
      <w:tr w14:paraId="6F91B5F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15F13">
            <w:pPr>
              <w:pStyle w:val="7"/>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677A7">
            <w:pPr>
              <w:pStyle w:val="7"/>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0C30B">
            <w:pPr>
              <w:pStyle w:val="7"/>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96EB3">
            <w:pPr>
              <w:pStyle w:val="7"/>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D2728">
            <w:pPr>
              <w:pStyle w:val="7"/>
              <w:spacing w:beforeAutospacing="0" w:afterAutospacing="0"/>
              <w:jc w:val="center"/>
              <w:rPr>
                <w:color w:val="auto"/>
                <w:highlight w:val="none"/>
              </w:rPr>
            </w:pPr>
            <w:r>
              <w:rPr>
                <w:color w:val="auto"/>
                <w:highlight w:val="none"/>
              </w:rPr>
              <w:t> </w:t>
            </w:r>
          </w:p>
        </w:tc>
      </w:tr>
      <w:tr w14:paraId="1A67141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5A117">
            <w:pPr>
              <w:pStyle w:val="7"/>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4EC70">
            <w:pPr>
              <w:pStyle w:val="7"/>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93403">
            <w:pPr>
              <w:pStyle w:val="7"/>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FC9F8">
            <w:pPr>
              <w:pStyle w:val="7"/>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C17AB">
            <w:pPr>
              <w:pStyle w:val="7"/>
              <w:spacing w:beforeAutospacing="0" w:afterAutospacing="0"/>
              <w:jc w:val="center"/>
              <w:rPr>
                <w:color w:val="auto"/>
                <w:highlight w:val="none"/>
              </w:rPr>
            </w:pPr>
            <w:r>
              <w:rPr>
                <w:color w:val="auto"/>
                <w:highlight w:val="none"/>
              </w:rPr>
              <w:t> </w:t>
            </w:r>
          </w:p>
        </w:tc>
      </w:tr>
      <w:tr w14:paraId="08140FAD">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E5D6B">
            <w:pPr>
              <w:pStyle w:val="7"/>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4649C">
            <w:pPr>
              <w:pStyle w:val="7"/>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64B1B">
            <w:pPr>
              <w:pStyle w:val="7"/>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180C8">
            <w:pPr>
              <w:pStyle w:val="7"/>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3D75C">
            <w:pPr>
              <w:pStyle w:val="7"/>
              <w:spacing w:beforeAutospacing="0" w:afterAutospacing="0"/>
              <w:jc w:val="center"/>
              <w:rPr>
                <w:color w:val="auto"/>
                <w:highlight w:val="none"/>
              </w:rPr>
            </w:pPr>
            <w:r>
              <w:rPr>
                <w:color w:val="auto"/>
                <w:highlight w:val="none"/>
              </w:rPr>
              <w:t> </w:t>
            </w:r>
          </w:p>
        </w:tc>
      </w:tr>
      <w:tr w14:paraId="70D09FD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B1AC5">
            <w:pPr>
              <w:pStyle w:val="7"/>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7205E">
            <w:pPr>
              <w:pStyle w:val="7"/>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F3F8C">
            <w:pPr>
              <w:pStyle w:val="7"/>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A3D10">
            <w:pPr>
              <w:pStyle w:val="7"/>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FD673">
            <w:pPr>
              <w:pStyle w:val="7"/>
              <w:spacing w:beforeAutospacing="0" w:afterAutospacing="0"/>
              <w:jc w:val="center"/>
              <w:rPr>
                <w:color w:val="auto"/>
                <w:highlight w:val="none"/>
              </w:rPr>
            </w:pPr>
            <w:r>
              <w:rPr>
                <w:color w:val="auto"/>
                <w:highlight w:val="none"/>
              </w:rPr>
              <w:t> </w:t>
            </w:r>
          </w:p>
        </w:tc>
      </w:tr>
    </w:tbl>
    <w:p w14:paraId="075D208C">
      <w:pPr>
        <w:pStyle w:val="7"/>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12AA0310">
      <w:pPr>
        <w:pStyle w:val="7"/>
        <w:spacing w:beforeAutospacing="0" w:afterAutospacing="0" w:line="480" w:lineRule="auto"/>
        <w:jc w:val="both"/>
        <w:rPr>
          <w:color w:val="auto"/>
          <w:highlight w:val="none"/>
        </w:rPr>
      </w:pPr>
      <w:r>
        <w:rPr>
          <w:color w:val="auto"/>
          <w:highlight w:val="none"/>
        </w:rPr>
        <w:t> </w:t>
      </w:r>
    </w:p>
    <w:p w14:paraId="12566D46">
      <w:pPr>
        <w:pStyle w:val="7"/>
        <w:spacing w:beforeAutospacing="0" w:afterAutospacing="0" w:line="480" w:lineRule="auto"/>
        <w:jc w:val="both"/>
        <w:rPr>
          <w:color w:val="auto"/>
          <w:highlight w:val="none"/>
        </w:rPr>
      </w:pPr>
      <w:r>
        <w:rPr>
          <w:color w:val="auto"/>
          <w:highlight w:val="none"/>
        </w:rPr>
        <w:t> </w:t>
      </w:r>
    </w:p>
    <w:p w14:paraId="48403903">
      <w:pPr>
        <w:pStyle w:val="7"/>
        <w:spacing w:beforeAutospacing="0" w:afterAutospacing="0"/>
        <w:jc w:val="center"/>
        <w:rPr>
          <w:color w:val="auto"/>
          <w:highlight w:val="none"/>
        </w:rPr>
      </w:pPr>
      <w:bookmarkStart w:id="199" w:name="_Hlt26609389"/>
      <w:bookmarkStart w:id="200" w:name="_Toc462564146"/>
      <w:bookmarkStart w:id="201" w:name="_Hlt26671374"/>
      <w:bookmarkStart w:id="202" w:name="_格式2__法定代表人授权书"/>
      <w:bookmarkStart w:id="203" w:name="_Hlt26955066"/>
      <w:r>
        <w:rPr>
          <w:color w:val="auto"/>
          <w:highlight w:val="none"/>
        </w:rPr>
        <w:t> </w:t>
      </w:r>
    </w:p>
    <w:p w14:paraId="11F7C514">
      <w:pPr>
        <w:pStyle w:val="7"/>
        <w:spacing w:beforeAutospacing="0" w:afterAutospacing="0"/>
        <w:jc w:val="both"/>
        <w:rPr>
          <w:color w:val="auto"/>
          <w:highlight w:val="none"/>
        </w:rPr>
      </w:pPr>
      <w:r>
        <w:rPr>
          <w:color w:val="auto"/>
          <w:highlight w:val="none"/>
        </w:rPr>
        <w:t> </w:t>
      </w:r>
    </w:p>
    <w:p w14:paraId="6FFADBEA">
      <w:pPr>
        <w:pStyle w:val="7"/>
        <w:spacing w:beforeAutospacing="0" w:afterAutospacing="0"/>
        <w:jc w:val="both"/>
        <w:rPr>
          <w:color w:val="auto"/>
          <w:highlight w:val="none"/>
        </w:rPr>
      </w:pPr>
      <w:r>
        <w:rPr>
          <w:color w:val="auto"/>
          <w:highlight w:val="none"/>
        </w:rPr>
        <w:t> </w:t>
      </w:r>
    </w:p>
    <w:p w14:paraId="091101CA">
      <w:pPr>
        <w:pStyle w:val="7"/>
        <w:spacing w:beforeAutospacing="0" w:afterAutospacing="0"/>
        <w:jc w:val="both"/>
        <w:rPr>
          <w:color w:val="auto"/>
          <w:highlight w:val="none"/>
        </w:rPr>
      </w:pPr>
    </w:p>
    <w:p w14:paraId="775107FF">
      <w:pPr>
        <w:pStyle w:val="7"/>
        <w:spacing w:beforeAutospacing="0" w:afterAutospacing="0"/>
        <w:jc w:val="both"/>
        <w:rPr>
          <w:color w:val="auto"/>
          <w:highlight w:val="none"/>
        </w:rPr>
      </w:pPr>
    </w:p>
    <w:p w14:paraId="6EDD34FA">
      <w:pPr>
        <w:pStyle w:val="7"/>
        <w:spacing w:beforeAutospacing="0" w:afterAutospacing="0"/>
        <w:jc w:val="both"/>
        <w:rPr>
          <w:color w:val="auto"/>
          <w:highlight w:val="none"/>
        </w:rPr>
      </w:pPr>
    </w:p>
    <w:p w14:paraId="4B21AC9E">
      <w:pPr>
        <w:pStyle w:val="7"/>
        <w:spacing w:beforeAutospacing="0" w:afterAutospacing="0"/>
        <w:jc w:val="both"/>
        <w:rPr>
          <w:color w:val="auto"/>
          <w:highlight w:val="none"/>
        </w:rPr>
      </w:pPr>
    </w:p>
    <w:p w14:paraId="674F3318">
      <w:pPr>
        <w:pStyle w:val="7"/>
        <w:spacing w:beforeAutospacing="0" w:afterAutospacing="0"/>
        <w:jc w:val="both"/>
        <w:rPr>
          <w:color w:val="auto"/>
          <w:highlight w:val="none"/>
        </w:rPr>
      </w:pPr>
    </w:p>
    <w:p w14:paraId="4875F71B">
      <w:pPr>
        <w:pStyle w:val="7"/>
        <w:spacing w:beforeAutospacing="0" w:afterAutospacing="0"/>
        <w:jc w:val="both"/>
        <w:rPr>
          <w:color w:val="auto"/>
          <w:highlight w:val="none"/>
        </w:rPr>
      </w:pPr>
    </w:p>
    <w:p w14:paraId="17AA3076">
      <w:pPr>
        <w:pStyle w:val="7"/>
        <w:spacing w:beforeAutospacing="0" w:afterAutospacing="0"/>
        <w:jc w:val="both"/>
        <w:rPr>
          <w:color w:val="auto"/>
          <w:highlight w:val="none"/>
        </w:rPr>
      </w:pPr>
    </w:p>
    <w:p w14:paraId="5004C355">
      <w:pPr>
        <w:pStyle w:val="7"/>
        <w:spacing w:beforeAutospacing="0" w:afterAutospacing="0"/>
        <w:jc w:val="both"/>
        <w:rPr>
          <w:color w:val="auto"/>
          <w:highlight w:val="none"/>
        </w:rPr>
      </w:pPr>
    </w:p>
    <w:p w14:paraId="2B3F6B8F">
      <w:pPr>
        <w:pStyle w:val="7"/>
        <w:spacing w:beforeAutospacing="0" w:afterAutospacing="0"/>
        <w:jc w:val="both"/>
        <w:rPr>
          <w:color w:val="auto"/>
          <w:highlight w:val="none"/>
        </w:rPr>
      </w:pPr>
    </w:p>
    <w:p w14:paraId="7747B771">
      <w:pPr>
        <w:pStyle w:val="7"/>
        <w:spacing w:beforeAutospacing="0" w:afterAutospacing="0"/>
        <w:jc w:val="both"/>
        <w:rPr>
          <w:color w:val="auto"/>
          <w:highlight w:val="none"/>
        </w:rPr>
      </w:pPr>
    </w:p>
    <w:p w14:paraId="2E58D630">
      <w:pPr>
        <w:pStyle w:val="7"/>
        <w:spacing w:beforeAutospacing="0" w:afterAutospacing="0"/>
        <w:jc w:val="both"/>
        <w:rPr>
          <w:color w:val="auto"/>
          <w:highlight w:val="none"/>
        </w:rPr>
      </w:pPr>
    </w:p>
    <w:p w14:paraId="4B06CD24">
      <w:pPr>
        <w:pStyle w:val="7"/>
        <w:spacing w:beforeAutospacing="0" w:afterAutospacing="0"/>
        <w:jc w:val="both"/>
        <w:rPr>
          <w:color w:val="auto"/>
          <w:highlight w:val="none"/>
        </w:rPr>
      </w:pPr>
    </w:p>
    <w:p w14:paraId="1AAE1B6C">
      <w:pPr>
        <w:pStyle w:val="7"/>
        <w:spacing w:beforeAutospacing="0" w:afterAutospacing="0"/>
        <w:jc w:val="both"/>
        <w:rPr>
          <w:color w:val="auto"/>
          <w:highlight w:val="none"/>
        </w:rPr>
      </w:pPr>
    </w:p>
    <w:p w14:paraId="34DD87E3">
      <w:pPr>
        <w:pStyle w:val="7"/>
        <w:spacing w:beforeAutospacing="0" w:afterAutospacing="0"/>
        <w:jc w:val="both"/>
        <w:rPr>
          <w:color w:val="auto"/>
          <w:highlight w:val="none"/>
        </w:rPr>
      </w:pPr>
    </w:p>
    <w:p w14:paraId="3685B77B">
      <w:pPr>
        <w:pStyle w:val="7"/>
        <w:spacing w:beforeAutospacing="0" w:afterAutospacing="0"/>
        <w:jc w:val="both"/>
        <w:rPr>
          <w:color w:val="auto"/>
          <w:highlight w:val="none"/>
        </w:rPr>
      </w:pPr>
    </w:p>
    <w:p w14:paraId="66FE6394">
      <w:pPr>
        <w:pStyle w:val="7"/>
        <w:spacing w:beforeAutospacing="0" w:afterAutospacing="0"/>
        <w:jc w:val="center"/>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五</w:t>
      </w:r>
      <w:r>
        <w:rPr>
          <w:rFonts w:hint="eastAsia" w:ascii="黑体" w:hAnsi="宋体" w:eastAsia="黑体" w:cs="黑体"/>
          <w:b/>
          <w:i/>
          <w:color w:val="auto"/>
          <w:sz w:val="32"/>
          <w:szCs w:val="32"/>
          <w:highlight w:val="none"/>
          <w:u w:val="single"/>
        </w:rPr>
        <w:t>、开标一览表</w:t>
      </w:r>
    </w:p>
    <w:p w14:paraId="52DC8AE2">
      <w:pPr>
        <w:pBdr>
          <w:top w:val="none" w:color="000000" w:sz="0" w:space="0"/>
          <w:left w:val="none" w:color="000000" w:sz="0" w:space="0"/>
          <w:bottom w:val="none" w:color="000000" w:sz="0" w:space="0"/>
          <w:right w:val="none" w:color="000000" w:sz="0" w:space="0"/>
        </w:pBdr>
        <w:spacing w:before="240" w:after="240"/>
        <w:rPr>
          <w:rFonts w:hint="eastAsia"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项目编号：</w:t>
      </w:r>
    </w:p>
    <w:p w14:paraId="511D4BBC">
      <w:pPr>
        <w:pBdr>
          <w:top w:val="none" w:color="000000" w:sz="0" w:space="0"/>
          <w:left w:val="none" w:color="000000" w:sz="0" w:space="0"/>
          <w:bottom w:val="none" w:color="000000" w:sz="0" w:space="0"/>
          <w:right w:val="none" w:color="000000" w:sz="0" w:space="0"/>
        </w:pBdr>
        <w:spacing w:before="240" w:after="240"/>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货币单位：人民币元</w:t>
      </w:r>
    </w:p>
    <w:tbl>
      <w:tblPr>
        <w:tblStyle w:val="10"/>
        <w:tblpPr w:leftFromText="180" w:rightFromText="180" w:vertAnchor="text" w:horzAnchor="page" w:tblpX="1623" w:tblpY="515"/>
        <w:tblOverlap w:val="neve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262"/>
        <w:gridCol w:w="2629"/>
        <w:gridCol w:w="2445"/>
      </w:tblGrid>
      <w:tr w14:paraId="588F8B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387" w:type="dxa"/>
            <w:tcBorders>
              <w:top w:val="single" w:color="808080" w:sz="8" w:space="0"/>
              <w:left w:val="single" w:color="808080" w:sz="8" w:space="0"/>
              <w:bottom w:val="single" w:color="808080" w:sz="8" w:space="0"/>
              <w:right w:val="single" w:color="808080" w:sz="8" w:space="0"/>
            </w:tcBorders>
            <w:noWrap w:val="0"/>
            <w:tcMar>
              <w:top w:w="15" w:type="dxa"/>
              <w:left w:w="15" w:type="dxa"/>
              <w:bottom w:w="15" w:type="dxa"/>
              <w:right w:w="15" w:type="dxa"/>
            </w:tcMar>
            <w:vAlign w:val="center"/>
          </w:tcPr>
          <w:p w14:paraId="1982EF66">
            <w:pPr>
              <w:pBdr>
                <w:top w:val="none" w:color="000000" w:sz="0" w:space="0"/>
                <w:left w:val="none" w:color="000000" w:sz="0" w:space="0"/>
                <w:bottom w:val="none" w:color="000000" w:sz="0" w:space="0"/>
                <w:right w:val="none" w:color="000000" w:sz="0" w:space="0"/>
              </w:pBdr>
              <w:spacing w:before="240" w:after="240"/>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项目名称</w:t>
            </w:r>
          </w:p>
        </w:tc>
        <w:tc>
          <w:tcPr>
            <w:tcW w:w="2743" w:type="dxa"/>
            <w:tcBorders>
              <w:top w:val="single" w:color="808080" w:sz="8" w:space="0"/>
              <w:left w:val="nil"/>
              <w:bottom w:val="single" w:color="808080" w:sz="8" w:space="0"/>
              <w:right w:val="single" w:color="808080" w:sz="8" w:space="0"/>
            </w:tcBorders>
            <w:noWrap w:val="0"/>
            <w:tcMar>
              <w:top w:w="15" w:type="dxa"/>
              <w:left w:w="15" w:type="dxa"/>
              <w:bottom w:w="15" w:type="dxa"/>
              <w:right w:w="15" w:type="dxa"/>
            </w:tcMar>
            <w:vAlign w:val="center"/>
          </w:tcPr>
          <w:p w14:paraId="38D26706">
            <w:pPr>
              <w:pBdr>
                <w:top w:val="none" w:color="000000" w:sz="0" w:space="0"/>
                <w:left w:val="none" w:color="000000" w:sz="0" w:space="0"/>
                <w:bottom w:val="none" w:color="000000" w:sz="0" w:space="0"/>
                <w:right w:val="none" w:color="000000" w:sz="0" w:space="0"/>
              </w:pBdr>
              <w:spacing w:before="240" w:after="240"/>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项目内容</w:t>
            </w:r>
          </w:p>
        </w:tc>
        <w:tc>
          <w:tcPr>
            <w:tcW w:w="2540" w:type="dxa"/>
            <w:tcBorders>
              <w:top w:val="single" w:color="808080" w:sz="8" w:space="0"/>
              <w:left w:val="nil"/>
              <w:bottom w:val="single" w:color="808080" w:sz="8" w:space="0"/>
              <w:right w:val="single" w:color="808080" w:sz="8" w:space="0"/>
            </w:tcBorders>
            <w:noWrap w:val="0"/>
            <w:tcMar>
              <w:top w:w="15" w:type="dxa"/>
              <w:left w:w="15" w:type="dxa"/>
              <w:bottom w:w="15" w:type="dxa"/>
              <w:right w:w="15" w:type="dxa"/>
            </w:tcMar>
            <w:vAlign w:val="center"/>
          </w:tcPr>
          <w:p w14:paraId="11E0E995">
            <w:pPr>
              <w:pBdr>
                <w:top w:val="none" w:color="000000" w:sz="0" w:space="0"/>
                <w:left w:val="none" w:color="000000" w:sz="0" w:space="0"/>
                <w:bottom w:val="none" w:color="000000" w:sz="0" w:space="0"/>
                <w:right w:val="none" w:color="000000" w:sz="0" w:space="0"/>
              </w:pBdr>
              <w:spacing w:before="240" w:after="240"/>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总价（小写）</w:t>
            </w:r>
          </w:p>
        </w:tc>
      </w:tr>
      <w:tr w14:paraId="13FD253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31" w:hRule="atLeast"/>
        </w:trPr>
        <w:tc>
          <w:tcPr>
            <w:tcW w:w="3387" w:type="dxa"/>
            <w:tcBorders>
              <w:top w:val="nil"/>
              <w:left w:val="single" w:color="808080" w:sz="8" w:space="0"/>
              <w:bottom w:val="single" w:color="808080" w:sz="8" w:space="0"/>
              <w:right w:val="single" w:color="808080" w:sz="8" w:space="0"/>
            </w:tcBorders>
            <w:noWrap w:val="0"/>
            <w:tcMar>
              <w:top w:w="15" w:type="dxa"/>
              <w:left w:w="15" w:type="dxa"/>
              <w:bottom w:w="15" w:type="dxa"/>
              <w:right w:w="15" w:type="dxa"/>
            </w:tcMar>
            <w:vAlign w:val="center"/>
          </w:tcPr>
          <w:p w14:paraId="3B9E99A6">
            <w:pPr>
              <w:widowControl/>
              <w:spacing w:line="560" w:lineRule="exact"/>
              <w:jc w:val="center"/>
              <w:rPr>
                <w:rFonts w:asciiTheme="minorEastAsia" w:hAnsiTheme="minorEastAsia" w:cstheme="minorEastAsia"/>
                <w:color w:val="auto"/>
                <w:sz w:val="21"/>
                <w:szCs w:val="21"/>
                <w:highlight w:val="none"/>
              </w:rPr>
            </w:pPr>
          </w:p>
        </w:tc>
        <w:tc>
          <w:tcPr>
            <w:tcW w:w="2743" w:type="dxa"/>
            <w:tcBorders>
              <w:top w:val="nil"/>
              <w:left w:val="nil"/>
              <w:bottom w:val="single" w:color="808080" w:sz="8" w:space="0"/>
              <w:right w:val="single" w:color="808080" w:sz="8" w:space="0"/>
            </w:tcBorders>
            <w:noWrap w:val="0"/>
            <w:tcMar>
              <w:top w:w="15" w:type="dxa"/>
              <w:left w:w="15" w:type="dxa"/>
              <w:bottom w:w="15" w:type="dxa"/>
              <w:right w:w="15" w:type="dxa"/>
            </w:tcMar>
            <w:vAlign w:val="center"/>
          </w:tcPr>
          <w:p w14:paraId="367501AD">
            <w:pPr>
              <w:pBdr>
                <w:top w:val="none" w:color="000000" w:sz="0" w:space="0"/>
                <w:left w:val="none" w:color="000000" w:sz="0" w:space="0"/>
                <w:bottom w:val="none" w:color="000000" w:sz="0" w:space="0"/>
                <w:right w:val="none" w:color="000000" w:sz="0" w:space="0"/>
              </w:pBdr>
              <w:spacing w:before="240" w:after="240"/>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详见投标文件</w:t>
            </w:r>
          </w:p>
        </w:tc>
        <w:tc>
          <w:tcPr>
            <w:tcW w:w="2540" w:type="dxa"/>
            <w:tcBorders>
              <w:top w:val="nil"/>
              <w:left w:val="nil"/>
              <w:bottom w:val="single" w:color="808080" w:sz="8" w:space="0"/>
              <w:right w:val="single" w:color="808080" w:sz="8" w:space="0"/>
            </w:tcBorders>
            <w:noWrap w:val="0"/>
            <w:tcMar>
              <w:top w:w="15" w:type="dxa"/>
              <w:left w:w="15" w:type="dxa"/>
              <w:bottom w:w="15" w:type="dxa"/>
              <w:right w:w="15" w:type="dxa"/>
            </w:tcMar>
            <w:vAlign w:val="center"/>
          </w:tcPr>
          <w:p w14:paraId="3B1E5C2F">
            <w:pPr>
              <w:pBdr>
                <w:top w:val="none" w:color="000000" w:sz="0" w:space="0"/>
                <w:left w:val="none" w:color="000000" w:sz="0" w:space="0"/>
                <w:bottom w:val="none" w:color="000000" w:sz="0" w:space="0"/>
                <w:right w:val="none" w:color="000000" w:sz="0" w:space="0"/>
              </w:pBdr>
              <w:spacing w:before="240" w:after="240"/>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元</w:t>
            </w:r>
          </w:p>
        </w:tc>
      </w:tr>
      <w:tr w14:paraId="60C4B5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26" w:hRule="atLeast"/>
        </w:trPr>
        <w:tc>
          <w:tcPr>
            <w:tcW w:w="3387" w:type="dxa"/>
            <w:tcBorders>
              <w:top w:val="nil"/>
              <w:left w:val="single" w:color="808080" w:sz="8" w:space="0"/>
              <w:bottom w:val="single" w:color="808080" w:sz="8" w:space="0"/>
              <w:right w:val="single" w:color="808080" w:sz="8" w:space="0"/>
            </w:tcBorders>
            <w:noWrap w:val="0"/>
            <w:tcMar>
              <w:top w:w="15" w:type="dxa"/>
              <w:left w:w="15" w:type="dxa"/>
              <w:bottom w:w="15" w:type="dxa"/>
              <w:right w:w="15" w:type="dxa"/>
            </w:tcMar>
            <w:vAlign w:val="center"/>
          </w:tcPr>
          <w:p w14:paraId="6464BFE6">
            <w:pPr>
              <w:pBdr>
                <w:top w:val="none" w:color="000000" w:sz="0" w:space="0"/>
                <w:left w:val="none" w:color="000000" w:sz="0" w:space="0"/>
                <w:bottom w:val="none" w:color="000000" w:sz="0" w:space="0"/>
                <w:right w:val="none" w:color="000000" w:sz="0" w:space="0"/>
              </w:pBdr>
              <w:spacing w:before="240" w:after="240"/>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总价（大写）：</w:t>
            </w:r>
          </w:p>
        </w:tc>
        <w:tc>
          <w:tcPr>
            <w:tcW w:w="5283" w:type="dxa"/>
            <w:gridSpan w:val="2"/>
            <w:tcBorders>
              <w:top w:val="nil"/>
              <w:left w:val="nil"/>
              <w:bottom w:val="single" w:color="808080" w:sz="8" w:space="0"/>
              <w:right w:val="single" w:color="808080" w:sz="8" w:space="0"/>
            </w:tcBorders>
            <w:noWrap w:val="0"/>
            <w:tcMar>
              <w:top w:w="15" w:type="dxa"/>
              <w:left w:w="15" w:type="dxa"/>
              <w:bottom w:w="15" w:type="dxa"/>
              <w:right w:w="15" w:type="dxa"/>
            </w:tcMar>
            <w:vAlign w:val="center"/>
          </w:tcPr>
          <w:p w14:paraId="7E23ED3A">
            <w:pPr>
              <w:pBdr>
                <w:top w:val="none" w:color="000000" w:sz="0" w:space="0"/>
                <w:left w:val="none" w:color="000000" w:sz="0" w:space="0"/>
                <w:bottom w:val="none" w:color="000000" w:sz="0" w:space="0"/>
                <w:right w:val="none" w:color="000000" w:sz="0" w:space="0"/>
              </w:pBdr>
              <w:spacing w:before="240" w:after="240"/>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金额大写</w:t>
            </w:r>
          </w:p>
        </w:tc>
      </w:tr>
    </w:tbl>
    <w:p w14:paraId="3C02FA0B">
      <w:pPr>
        <w:pStyle w:val="7"/>
        <w:spacing w:beforeAutospacing="0" w:afterAutospacing="0" w:line="0" w:lineRule="atLeast"/>
        <w:jc w:val="both"/>
        <w:rPr>
          <w:rFonts w:hint="eastAsia" w:ascii="宋体" w:hAnsi="宋体" w:eastAsia="宋体" w:cs="宋体"/>
          <w:color w:val="auto"/>
          <w:highlight w:val="none"/>
          <w:lang w:val="en-US" w:eastAsia="zh-CN"/>
        </w:rPr>
      </w:pPr>
      <w:r>
        <w:rPr>
          <w:rFonts w:hint="eastAsia" w:asciiTheme="minorEastAsia" w:hAnsiTheme="minorEastAsia" w:cstheme="minorEastAsia"/>
          <w:color w:val="auto"/>
          <w:sz w:val="21"/>
          <w:szCs w:val="21"/>
          <w:highlight w:val="none"/>
        </w:rPr>
        <w:t>投标人公章：（电子签章）</w:t>
      </w:r>
    </w:p>
    <w:p w14:paraId="69530E86">
      <w:pPr>
        <w:widowControl/>
        <w:spacing w:before="50" w:after="50"/>
        <w:jc w:val="center"/>
        <w:rPr>
          <w:color w:val="auto"/>
          <w:highlight w:val="none"/>
        </w:rPr>
      </w:pPr>
      <w:r>
        <w:rPr>
          <w:color w:val="auto"/>
          <w:highlight w:val="none"/>
        </w:rPr>
        <w:tab/>
      </w:r>
    </w:p>
    <w:p w14:paraId="6D73598B">
      <w:pPr>
        <w:widowControl/>
        <w:spacing w:before="50" w:after="50"/>
        <w:jc w:val="center"/>
        <w:rPr>
          <w:color w:val="auto"/>
          <w:highlight w:val="none"/>
        </w:rPr>
      </w:pPr>
    </w:p>
    <w:p w14:paraId="6A19852B">
      <w:pPr>
        <w:widowControl/>
        <w:spacing w:before="50" w:after="50"/>
        <w:jc w:val="center"/>
        <w:rPr>
          <w:color w:val="auto"/>
          <w:highlight w:val="none"/>
        </w:rPr>
      </w:pPr>
    </w:p>
    <w:p w14:paraId="710236B8">
      <w:pPr>
        <w:widowControl/>
        <w:spacing w:before="50" w:after="50"/>
        <w:jc w:val="center"/>
        <w:rPr>
          <w:color w:val="auto"/>
          <w:highlight w:val="none"/>
        </w:rPr>
      </w:pPr>
    </w:p>
    <w:p w14:paraId="14174855">
      <w:pPr>
        <w:pStyle w:val="13"/>
        <w:rPr>
          <w:color w:val="auto"/>
          <w:highlight w:val="none"/>
        </w:rPr>
      </w:pPr>
    </w:p>
    <w:p w14:paraId="09EBE75F">
      <w:pPr>
        <w:pStyle w:val="13"/>
        <w:rPr>
          <w:color w:val="auto"/>
          <w:highlight w:val="none"/>
        </w:rPr>
      </w:pPr>
    </w:p>
    <w:p w14:paraId="400F5930">
      <w:pPr>
        <w:pStyle w:val="13"/>
        <w:rPr>
          <w:color w:val="auto"/>
          <w:highlight w:val="none"/>
        </w:rPr>
      </w:pPr>
    </w:p>
    <w:p w14:paraId="6A18262E">
      <w:pPr>
        <w:widowControl/>
        <w:spacing w:before="50" w:after="50"/>
        <w:jc w:val="center"/>
        <w:rPr>
          <w:color w:val="auto"/>
          <w:highlight w:val="none"/>
        </w:rPr>
      </w:pPr>
    </w:p>
    <w:p w14:paraId="114D7512">
      <w:pPr>
        <w:widowControl/>
        <w:spacing w:before="50" w:after="50"/>
        <w:jc w:val="center"/>
        <w:rPr>
          <w:color w:val="auto"/>
          <w:highlight w:val="none"/>
        </w:rPr>
      </w:pPr>
    </w:p>
    <w:p w14:paraId="7869E4F2">
      <w:pPr>
        <w:widowControl/>
        <w:spacing w:before="50" w:after="50"/>
        <w:jc w:val="center"/>
        <w:rPr>
          <w:color w:val="auto"/>
          <w:highlight w:val="none"/>
        </w:rPr>
      </w:pPr>
    </w:p>
    <w:p w14:paraId="52C78687">
      <w:pPr>
        <w:widowControl/>
        <w:spacing w:before="50" w:after="50"/>
        <w:jc w:val="center"/>
        <w:rPr>
          <w:rFonts w:hint="eastAsia" w:ascii="宋体" w:hAnsi="宋体" w:eastAsia="宋体" w:cs="宋体"/>
          <w:b/>
          <w:bCs/>
          <w:color w:val="auto"/>
          <w:sz w:val="32"/>
          <w:szCs w:val="32"/>
          <w:highlight w:val="none"/>
        </w:rPr>
      </w:pPr>
    </w:p>
    <w:p w14:paraId="22606C9C">
      <w:pPr>
        <w:widowControl/>
        <w:spacing w:before="50" w:after="50"/>
        <w:jc w:val="center"/>
        <w:rPr>
          <w:rFonts w:hint="eastAsia" w:ascii="宋体" w:hAnsi="宋体" w:eastAsia="宋体" w:cs="宋体"/>
          <w:b/>
          <w:bCs/>
          <w:color w:val="auto"/>
          <w:sz w:val="32"/>
          <w:szCs w:val="32"/>
          <w:highlight w:val="none"/>
        </w:rPr>
      </w:pPr>
    </w:p>
    <w:p w14:paraId="42CFCA98">
      <w:pPr>
        <w:widowControl/>
        <w:spacing w:before="50" w:after="50"/>
        <w:jc w:val="center"/>
        <w:rPr>
          <w:rFonts w:hint="eastAsia" w:ascii="宋体" w:hAnsi="宋体" w:eastAsia="宋体" w:cs="宋体"/>
          <w:b/>
          <w:bCs/>
          <w:color w:val="auto"/>
          <w:sz w:val="32"/>
          <w:szCs w:val="32"/>
          <w:highlight w:val="none"/>
        </w:rPr>
      </w:pPr>
    </w:p>
    <w:p w14:paraId="7691B2FF">
      <w:pPr>
        <w:widowControl/>
        <w:spacing w:before="50" w:after="50"/>
        <w:jc w:val="center"/>
        <w:rPr>
          <w:rFonts w:hint="eastAsia" w:ascii="宋体" w:hAnsi="宋体" w:eastAsia="宋体" w:cs="宋体"/>
          <w:b/>
          <w:bCs/>
          <w:color w:val="auto"/>
          <w:sz w:val="32"/>
          <w:szCs w:val="32"/>
          <w:highlight w:val="none"/>
        </w:rPr>
      </w:pPr>
    </w:p>
    <w:p w14:paraId="098B2288">
      <w:pPr>
        <w:widowControl/>
        <w:spacing w:before="50" w:after="50"/>
        <w:jc w:val="center"/>
        <w:rPr>
          <w:rFonts w:hint="eastAsia" w:ascii="宋体" w:hAnsi="宋体" w:eastAsia="宋体" w:cs="宋体"/>
          <w:b/>
          <w:bCs/>
          <w:color w:val="auto"/>
          <w:sz w:val="32"/>
          <w:szCs w:val="32"/>
          <w:highlight w:val="none"/>
        </w:rPr>
      </w:pPr>
    </w:p>
    <w:p w14:paraId="0E6E21C1">
      <w:pPr>
        <w:widowControl/>
        <w:spacing w:before="50" w:after="50"/>
        <w:jc w:val="center"/>
        <w:rPr>
          <w:rFonts w:hint="eastAsia" w:ascii="宋体" w:hAnsi="宋体" w:eastAsia="宋体" w:cs="宋体"/>
          <w:b/>
          <w:bCs/>
          <w:color w:val="auto"/>
          <w:sz w:val="32"/>
          <w:szCs w:val="32"/>
          <w:highlight w:val="none"/>
        </w:rPr>
      </w:pPr>
    </w:p>
    <w:p w14:paraId="4F6C0763">
      <w:pPr>
        <w:widowControl/>
        <w:spacing w:before="50" w:after="50"/>
        <w:jc w:val="center"/>
        <w:rPr>
          <w:rFonts w:hint="eastAsia" w:ascii="宋体" w:hAnsi="宋体" w:eastAsia="宋体" w:cs="宋体"/>
          <w:b/>
          <w:bCs/>
          <w:color w:val="auto"/>
          <w:sz w:val="32"/>
          <w:szCs w:val="32"/>
          <w:highlight w:val="none"/>
        </w:rPr>
      </w:pPr>
    </w:p>
    <w:p w14:paraId="082F03F2">
      <w:pPr>
        <w:widowControl/>
        <w:spacing w:before="50" w:after="50"/>
        <w:jc w:val="center"/>
        <w:rPr>
          <w:rFonts w:hint="eastAsia" w:ascii="宋体" w:hAnsi="宋体" w:eastAsia="宋体" w:cs="宋体"/>
          <w:b/>
          <w:bCs/>
          <w:color w:val="auto"/>
          <w:sz w:val="32"/>
          <w:szCs w:val="32"/>
          <w:highlight w:val="none"/>
        </w:rPr>
      </w:pPr>
    </w:p>
    <w:p w14:paraId="59950FB2">
      <w:pPr>
        <w:widowControl/>
        <w:spacing w:before="50" w:after="50"/>
        <w:jc w:val="center"/>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十</w:t>
      </w:r>
      <w:r>
        <w:rPr>
          <w:rFonts w:hint="eastAsia" w:ascii="宋体" w:hAnsi="宋体" w:eastAsia="宋体" w:cs="宋体"/>
          <w:b/>
          <w:bCs/>
          <w:color w:val="auto"/>
          <w:sz w:val="32"/>
          <w:szCs w:val="32"/>
          <w:highlight w:val="none"/>
          <w:lang w:val="en-US" w:eastAsia="zh-CN"/>
        </w:rPr>
        <w:t>六</w:t>
      </w:r>
      <w:r>
        <w:rPr>
          <w:rFonts w:hint="eastAsia" w:ascii="宋体" w:hAnsi="宋体" w:eastAsia="宋体" w:cs="宋体"/>
          <w:b/>
          <w:bCs/>
          <w:color w:val="auto"/>
          <w:sz w:val="32"/>
          <w:szCs w:val="32"/>
          <w:highlight w:val="none"/>
        </w:rPr>
        <w:t>、技术方案、服务承诺、培训承诺等</w:t>
      </w:r>
    </w:p>
    <w:p w14:paraId="7849E9B4">
      <w:pPr>
        <w:pStyle w:val="7"/>
        <w:tabs>
          <w:tab w:val="left" w:pos="2160"/>
        </w:tabs>
        <w:spacing w:beforeAutospacing="0" w:afterAutospacing="0"/>
        <w:jc w:val="both"/>
        <w:rPr>
          <w:color w:val="auto"/>
          <w:highlight w:val="none"/>
        </w:rPr>
      </w:pPr>
    </w:p>
    <w:p w14:paraId="66E5115D">
      <w:pPr>
        <w:widowControl/>
        <w:spacing w:line="499" w:lineRule="atLeast"/>
        <w:ind w:firstLine="1600"/>
        <w:rPr>
          <w:rFonts w:ascii="宋体" w:hAnsi="宋体" w:eastAsia="宋体" w:cs="宋体"/>
          <w:color w:val="auto"/>
          <w:sz w:val="32"/>
          <w:szCs w:val="32"/>
          <w:highlight w:val="none"/>
        </w:rPr>
      </w:pPr>
    </w:p>
    <w:p w14:paraId="0B36FC4E">
      <w:pPr>
        <w:widowControl/>
        <w:spacing w:line="499" w:lineRule="atLeast"/>
        <w:ind w:firstLine="1600"/>
        <w:rPr>
          <w:rFonts w:ascii="宋体" w:hAnsi="宋体" w:eastAsia="宋体" w:cs="宋体"/>
          <w:color w:val="auto"/>
          <w:sz w:val="32"/>
          <w:szCs w:val="32"/>
          <w:highlight w:val="none"/>
        </w:rPr>
      </w:pPr>
    </w:p>
    <w:p w14:paraId="788B8443">
      <w:pPr>
        <w:widowControl/>
        <w:spacing w:line="499" w:lineRule="atLeast"/>
        <w:ind w:firstLine="1600"/>
        <w:rPr>
          <w:rFonts w:ascii="宋体" w:hAnsi="宋体" w:eastAsia="宋体" w:cs="宋体"/>
          <w:color w:val="auto"/>
          <w:sz w:val="32"/>
          <w:szCs w:val="32"/>
          <w:highlight w:val="none"/>
        </w:rPr>
      </w:pPr>
    </w:p>
    <w:p w14:paraId="1F3D1ACE">
      <w:pPr>
        <w:widowControl/>
        <w:spacing w:line="499" w:lineRule="atLeast"/>
        <w:ind w:firstLine="1600"/>
        <w:rPr>
          <w:rFonts w:ascii="宋体" w:hAnsi="宋体" w:eastAsia="宋体" w:cs="宋体"/>
          <w:color w:val="auto"/>
          <w:sz w:val="32"/>
          <w:szCs w:val="32"/>
          <w:highlight w:val="none"/>
        </w:rPr>
      </w:pPr>
    </w:p>
    <w:p w14:paraId="01F9AF1D">
      <w:pPr>
        <w:widowControl/>
        <w:spacing w:line="499" w:lineRule="atLeast"/>
        <w:ind w:firstLine="1600"/>
        <w:rPr>
          <w:rFonts w:ascii="宋体" w:hAnsi="宋体" w:eastAsia="宋体" w:cs="宋体"/>
          <w:color w:val="auto"/>
          <w:sz w:val="32"/>
          <w:szCs w:val="32"/>
          <w:highlight w:val="none"/>
        </w:rPr>
      </w:pPr>
    </w:p>
    <w:p w14:paraId="7B3E1DEB">
      <w:pPr>
        <w:widowControl/>
        <w:spacing w:line="499" w:lineRule="atLeast"/>
        <w:ind w:firstLine="1600"/>
        <w:rPr>
          <w:rFonts w:ascii="宋体" w:hAnsi="宋体" w:eastAsia="宋体" w:cs="宋体"/>
          <w:color w:val="auto"/>
          <w:sz w:val="32"/>
          <w:szCs w:val="32"/>
          <w:highlight w:val="none"/>
        </w:rPr>
      </w:pPr>
    </w:p>
    <w:p w14:paraId="4ABC1D3E">
      <w:pPr>
        <w:widowControl/>
        <w:spacing w:line="499" w:lineRule="atLeast"/>
        <w:ind w:firstLine="1600"/>
        <w:rPr>
          <w:rFonts w:ascii="宋体" w:hAnsi="宋体" w:eastAsia="宋体" w:cs="宋体"/>
          <w:color w:val="auto"/>
          <w:sz w:val="32"/>
          <w:szCs w:val="32"/>
          <w:highlight w:val="none"/>
        </w:rPr>
      </w:pPr>
    </w:p>
    <w:p w14:paraId="106D252E">
      <w:pPr>
        <w:widowControl/>
        <w:spacing w:line="499" w:lineRule="atLeast"/>
        <w:ind w:firstLine="1600"/>
        <w:rPr>
          <w:rFonts w:ascii="宋体" w:hAnsi="宋体" w:eastAsia="宋体" w:cs="宋体"/>
          <w:color w:val="auto"/>
          <w:sz w:val="32"/>
          <w:szCs w:val="32"/>
          <w:highlight w:val="none"/>
        </w:rPr>
      </w:pPr>
    </w:p>
    <w:p w14:paraId="1ED0F53F">
      <w:pPr>
        <w:widowControl/>
        <w:spacing w:line="499" w:lineRule="atLeast"/>
        <w:ind w:firstLine="1600"/>
        <w:rPr>
          <w:rFonts w:ascii="宋体" w:hAnsi="宋体" w:eastAsia="宋体" w:cs="宋体"/>
          <w:color w:val="auto"/>
          <w:sz w:val="32"/>
          <w:szCs w:val="32"/>
          <w:highlight w:val="none"/>
        </w:rPr>
      </w:pPr>
    </w:p>
    <w:p w14:paraId="747B11C0">
      <w:pPr>
        <w:widowControl/>
        <w:spacing w:line="499" w:lineRule="atLeast"/>
        <w:ind w:firstLine="1600"/>
        <w:rPr>
          <w:rFonts w:ascii="宋体" w:hAnsi="宋体" w:eastAsia="宋体" w:cs="宋体"/>
          <w:color w:val="auto"/>
          <w:sz w:val="32"/>
          <w:szCs w:val="32"/>
          <w:highlight w:val="none"/>
        </w:rPr>
      </w:pPr>
    </w:p>
    <w:p w14:paraId="7079C61B">
      <w:pPr>
        <w:widowControl/>
        <w:spacing w:line="499" w:lineRule="atLeast"/>
        <w:ind w:firstLine="1600"/>
        <w:rPr>
          <w:rFonts w:ascii="宋体" w:hAnsi="宋体" w:eastAsia="宋体" w:cs="宋体"/>
          <w:color w:val="auto"/>
          <w:sz w:val="32"/>
          <w:szCs w:val="32"/>
          <w:highlight w:val="none"/>
        </w:rPr>
      </w:pPr>
    </w:p>
    <w:p w14:paraId="359CA670">
      <w:pPr>
        <w:widowControl/>
        <w:spacing w:line="499" w:lineRule="atLeast"/>
        <w:ind w:firstLine="1600"/>
        <w:rPr>
          <w:rFonts w:ascii="宋体" w:hAnsi="宋体" w:eastAsia="宋体" w:cs="宋体"/>
          <w:color w:val="auto"/>
          <w:sz w:val="32"/>
          <w:szCs w:val="32"/>
          <w:highlight w:val="none"/>
        </w:rPr>
      </w:pPr>
    </w:p>
    <w:p w14:paraId="48D8DD2C">
      <w:pPr>
        <w:widowControl/>
        <w:spacing w:line="499" w:lineRule="atLeast"/>
        <w:ind w:firstLine="1600"/>
        <w:rPr>
          <w:rFonts w:ascii="宋体" w:hAnsi="宋体" w:eastAsia="宋体" w:cs="宋体"/>
          <w:color w:val="auto"/>
          <w:sz w:val="32"/>
          <w:szCs w:val="32"/>
          <w:highlight w:val="none"/>
        </w:rPr>
      </w:pPr>
    </w:p>
    <w:p w14:paraId="01BDA345">
      <w:pPr>
        <w:widowControl/>
        <w:spacing w:line="499" w:lineRule="atLeast"/>
        <w:ind w:firstLine="1600"/>
        <w:rPr>
          <w:rFonts w:ascii="宋体" w:hAnsi="宋体" w:eastAsia="宋体" w:cs="宋体"/>
          <w:color w:val="auto"/>
          <w:sz w:val="32"/>
          <w:szCs w:val="32"/>
          <w:highlight w:val="none"/>
        </w:rPr>
      </w:pPr>
    </w:p>
    <w:p w14:paraId="589848F5">
      <w:pPr>
        <w:widowControl/>
        <w:spacing w:line="499" w:lineRule="atLeast"/>
        <w:ind w:firstLine="1600"/>
        <w:rPr>
          <w:rFonts w:ascii="宋体" w:hAnsi="宋体" w:eastAsia="宋体" w:cs="宋体"/>
          <w:color w:val="auto"/>
          <w:sz w:val="32"/>
          <w:szCs w:val="32"/>
          <w:highlight w:val="none"/>
        </w:rPr>
      </w:pPr>
    </w:p>
    <w:p w14:paraId="62C31DFB">
      <w:pPr>
        <w:widowControl/>
        <w:spacing w:line="499" w:lineRule="atLeast"/>
        <w:ind w:firstLine="1600"/>
        <w:rPr>
          <w:rFonts w:ascii="宋体" w:hAnsi="宋体" w:eastAsia="宋体" w:cs="宋体"/>
          <w:color w:val="auto"/>
          <w:sz w:val="32"/>
          <w:szCs w:val="32"/>
          <w:highlight w:val="none"/>
        </w:rPr>
      </w:pPr>
    </w:p>
    <w:p w14:paraId="2134A57C">
      <w:pPr>
        <w:widowControl/>
        <w:spacing w:line="499" w:lineRule="atLeast"/>
        <w:ind w:firstLine="1600"/>
        <w:rPr>
          <w:rFonts w:ascii="宋体" w:hAnsi="宋体" w:eastAsia="宋体" w:cs="宋体"/>
          <w:color w:val="auto"/>
          <w:sz w:val="32"/>
          <w:szCs w:val="32"/>
          <w:highlight w:val="none"/>
        </w:rPr>
      </w:pPr>
    </w:p>
    <w:p w14:paraId="430A3094">
      <w:pPr>
        <w:widowControl/>
        <w:spacing w:line="499" w:lineRule="atLeast"/>
        <w:ind w:firstLine="1600"/>
        <w:rPr>
          <w:rFonts w:ascii="宋体" w:hAnsi="宋体" w:eastAsia="宋体" w:cs="宋体"/>
          <w:color w:val="auto"/>
          <w:sz w:val="32"/>
          <w:szCs w:val="32"/>
          <w:highlight w:val="none"/>
        </w:rPr>
      </w:pPr>
    </w:p>
    <w:p w14:paraId="7B7ED7A3">
      <w:pPr>
        <w:widowControl/>
        <w:spacing w:line="499" w:lineRule="atLeast"/>
        <w:ind w:firstLine="1600"/>
        <w:rPr>
          <w:rFonts w:ascii="宋体" w:hAnsi="宋体" w:eastAsia="宋体" w:cs="宋体"/>
          <w:color w:val="auto"/>
          <w:sz w:val="32"/>
          <w:szCs w:val="32"/>
          <w:highlight w:val="none"/>
        </w:rPr>
      </w:pPr>
    </w:p>
    <w:p w14:paraId="29331877">
      <w:pPr>
        <w:widowControl/>
        <w:spacing w:line="499" w:lineRule="atLeast"/>
        <w:ind w:firstLine="1600"/>
        <w:rPr>
          <w:rFonts w:ascii="宋体" w:hAnsi="宋体" w:eastAsia="宋体" w:cs="宋体"/>
          <w:color w:val="auto"/>
          <w:sz w:val="32"/>
          <w:szCs w:val="32"/>
          <w:highlight w:val="none"/>
        </w:rPr>
      </w:pPr>
    </w:p>
    <w:p w14:paraId="603FBC5E">
      <w:pPr>
        <w:widowControl/>
        <w:spacing w:line="499" w:lineRule="atLeast"/>
        <w:ind w:firstLine="1600"/>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十</w:t>
      </w:r>
      <w:r>
        <w:rPr>
          <w:rFonts w:hint="eastAsia" w:ascii="宋体" w:hAnsi="宋体" w:eastAsia="宋体" w:cs="宋体"/>
          <w:b/>
          <w:bCs/>
          <w:color w:val="auto"/>
          <w:sz w:val="32"/>
          <w:szCs w:val="32"/>
          <w:highlight w:val="none"/>
          <w:lang w:val="en-US" w:eastAsia="zh-CN"/>
        </w:rPr>
        <w:t>七</w:t>
      </w:r>
      <w:r>
        <w:rPr>
          <w:rFonts w:hint="eastAsia" w:ascii="宋体" w:hAnsi="宋体" w:eastAsia="宋体" w:cs="宋体"/>
          <w:b/>
          <w:bCs/>
          <w:color w:val="auto"/>
          <w:sz w:val="32"/>
          <w:szCs w:val="32"/>
          <w:highlight w:val="none"/>
        </w:rPr>
        <w:t>、盐城市政府采购事前信用承诺书</w:t>
      </w:r>
    </w:p>
    <w:p w14:paraId="7A6AA9B5">
      <w:pPr>
        <w:widowControl/>
        <w:spacing w:line="499" w:lineRule="atLeast"/>
        <w:ind w:firstLine="48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为营造我市公开、公平、公正、诚实守信的政府采购交易环境，树立诚信守法的投标人形象，本人代表本单位作出以下承诺：</w:t>
      </w:r>
    </w:p>
    <w:p w14:paraId="58C4F92F">
      <w:pPr>
        <w:widowControl/>
        <w:spacing w:line="499" w:lineRule="atLeast"/>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1"/>
          <w:szCs w:val="21"/>
          <w:highlight w:val="none"/>
          <w:lang w:eastAsia="zh-CN"/>
        </w:rPr>
        <w:t>虚假成分</w:t>
      </w:r>
      <w:r>
        <w:rPr>
          <w:rFonts w:hint="eastAsia" w:ascii="宋体" w:hAnsi="宋体" w:eastAsia="宋体" w:cs="宋体"/>
          <w:color w:val="auto"/>
          <w:sz w:val="21"/>
          <w:szCs w:val="21"/>
          <w:highlight w:val="none"/>
        </w:rPr>
        <w:t>，并对所提供资料的真实性负责；</w:t>
      </w:r>
    </w:p>
    <w:p w14:paraId="7AF2EC52">
      <w:pPr>
        <w:widowControl/>
        <w:spacing w:line="499" w:lineRule="atLeast"/>
        <w:ind w:firstLine="48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16C4258">
      <w:pPr>
        <w:widowControl/>
        <w:spacing w:line="499" w:lineRule="atLeast"/>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（三）严格依照国家和省、市关于政府采购的法律、法规、规章、规范性文件，参加政府采购投标活动；积极履行社会责任，促进廉政建设； </w:t>
      </w:r>
    </w:p>
    <w:p w14:paraId="4F996B18">
      <w:pPr>
        <w:widowControl/>
        <w:spacing w:line="499" w:lineRule="atLeast"/>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（四）严格遵守即时信息公示规定，及时</w:t>
      </w:r>
      <w:r>
        <w:rPr>
          <w:rFonts w:hint="eastAsia" w:ascii="宋体" w:hAnsi="宋体" w:eastAsia="宋体" w:cs="宋体"/>
          <w:color w:val="auto"/>
          <w:sz w:val="21"/>
          <w:szCs w:val="21"/>
          <w:highlight w:val="none"/>
          <w:lang w:eastAsia="zh-CN"/>
        </w:rPr>
        <w:t>维护和更新</w:t>
      </w:r>
      <w:r>
        <w:rPr>
          <w:rFonts w:hint="eastAsia" w:ascii="宋体" w:hAnsi="宋体" w:eastAsia="宋体" w:cs="宋体"/>
          <w:color w:val="auto"/>
          <w:sz w:val="21"/>
          <w:szCs w:val="21"/>
          <w:highlight w:val="none"/>
        </w:rPr>
        <w:t>盐城市政府采购网中与本单位相关的信息；</w:t>
      </w:r>
    </w:p>
    <w:p w14:paraId="6DA57652">
      <w:pPr>
        <w:widowControl/>
        <w:spacing w:line="499" w:lineRule="atLeast"/>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7106DCBF">
      <w:pPr>
        <w:widowControl/>
        <w:spacing w:line="499" w:lineRule="atLeast"/>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（六）自觉接受政府、行业组织、社会公众、新闻舆论的监督；</w:t>
      </w:r>
    </w:p>
    <w:p w14:paraId="7DC387F5">
      <w:pPr>
        <w:widowControl/>
        <w:spacing w:line="499" w:lineRule="atLeast"/>
        <w:ind w:firstLine="48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5B8230F">
      <w:pPr>
        <w:widowControl/>
        <w:spacing w:line="499" w:lineRule="atLeast"/>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（八）本人已认真阅读了上述承诺，并向本单位员工作了宣传教育。</w:t>
      </w:r>
    </w:p>
    <w:p w14:paraId="4F47FD59">
      <w:pPr>
        <w:widowControl/>
        <w:spacing w:line="499" w:lineRule="atLeast"/>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法定代表人签名：</w:t>
      </w:r>
    </w:p>
    <w:p w14:paraId="5627AD58">
      <w:pPr>
        <w:widowControl/>
        <w:spacing w:line="499" w:lineRule="atLeast"/>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单位名称（盖章）：</w:t>
      </w:r>
    </w:p>
    <w:p w14:paraId="38715E7D">
      <w:pPr>
        <w:widowControl/>
        <w:spacing w:line="499" w:lineRule="atLeast"/>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年月日</w:t>
      </w:r>
    </w:p>
    <w:p w14:paraId="2CE1153E">
      <w:pPr>
        <w:pStyle w:val="7"/>
        <w:spacing w:beforeAutospacing="0" w:afterAutospacing="0"/>
        <w:jc w:val="center"/>
        <w:rPr>
          <w:color w:val="auto"/>
          <w:highlight w:val="none"/>
        </w:rPr>
      </w:pPr>
    </w:p>
    <w:bookmarkEnd w:id="31"/>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77"/>
    <w:bookmarkEnd w:id="180"/>
    <w:bookmarkEnd w:id="184"/>
    <w:bookmarkEnd w:id="185"/>
    <w:bookmarkEnd w:id="187"/>
    <w:bookmarkEnd w:id="188"/>
    <w:bookmarkEnd w:id="189"/>
    <w:bookmarkEnd w:id="190"/>
    <w:bookmarkEnd w:id="199"/>
    <w:bookmarkEnd w:id="200"/>
    <w:bookmarkEnd w:id="201"/>
    <w:bookmarkEnd w:id="202"/>
    <w:bookmarkEnd w:id="203"/>
    <w:p w14:paraId="73962E08">
      <w:pPr>
        <w:rPr>
          <w:color w:val="auto"/>
          <w:highlight w:val="none"/>
        </w:rPr>
      </w:pPr>
    </w:p>
    <w:p w14:paraId="417BBC0A">
      <w:pPr>
        <w:pStyle w:val="7"/>
        <w:spacing w:beforeAutospacing="0" w:afterAutospacing="0"/>
        <w:jc w:val="center"/>
        <w:rPr>
          <w:rFonts w:hint="eastAsia" w:ascii="宋体" w:hAnsi="宋体" w:eastAsia="宋体" w:cs="宋体"/>
          <w:b/>
          <w:color w:val="auto"/>
          <w:sz w:val="32"/>
          <w:szCs w:val="32"/>
          <w:highlight w:val="none"/>
        </w:rPr>
      </w:pPr>
    </w:p>
    <w:p w14:paraId="2DC4B26A">
      <w:pPr>
        <w:pStyle w:val="7"/>
        <w:spacing w:beforeAutospacing="0" w:afterAutospacing="0"/>
        <w:jc w:val="center"/>
        <w:rPr>
          <w:rFonts w:hint="eastAsia" w:ascii="宋体" w:hAnsi="宋体" w:eastAsia="宋体" w:cs="宋体"/>
          <w:b/>
          <w:color w:val="auto"/>
          <w:sz w:val="32"/>
          <w:szCs w:val="32"/>
          <w:highlight w:val="none"/>
        </w:rPr>
      </w:pPr>
    </w:p>
    <w:p w14:paraId="4CA6BED5">
      <w:pPr>
        <w:pStyle w:val="7"/>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7D93F537">
      <w:pPr>
        <w:pStyle w:val="7"/>
        <w:keepNext w:val="0"/>
        <w:keepLines w:val="0"/>
        <w:pageBreakBefore w:val="0"/>
        <w:kinsoku/>
        <w:wordWrap/>
        <w:overflowPunct/>
        <w:topLinePunct w:val="0"/>
        <w:autoSpaceDE/>
        <w:autoSpaceDN/>
        <w:bidi w:val="0"/>
        <w:adjustRightInd/>
        <w:snapToGrid/>
        <w:spacing w:before="290"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一、质疑供应商基本信息</w:t>
      </w:r>
    </w:p>
    <w:p w14:paraId="5AAB0FC4">
      <w:pPr>
        <w:pStyle w:val="7"/>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质疑供应商：</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368E09A1">
      <w:pPr>
        <w:pStyle w:val="7"/>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w:t>
      </w:r>
    </w:p>
    <w:p w14:paraId="65F89118">
      <w:pPr>
        <w:pStyle w:val="7"/>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邮编：</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42F31186">
      <w:pPr>
        <w:pStyle w:val="7"/>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324C9153">
      <w:pPr>
        <w:pStyle w:val="7"/>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p>
    <w:p w14:paraId="7996FEF7">
      <w:pPr>
        <w:pStyle w:val="7"/>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授权代表：</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0702EA18">
      <w:pPr>
        <w:pStyle w:val="7"/>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29A31DB0">
      <w:pPr>
        <w:pStyle w:val="7"/>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地址： </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7A09A72C">
      <w:pPr>
        <w:pStyle w:val="7"/>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邮编：</w:t>
      </w:r>
      <w:r>
        <w:rPr>
          <w:rFonts w:hint="eastAsia" w:ascii="宋体" w:hAnsi="宋体" w:eastAsia="宋体" w:cs="宋体"/>
          <w:color w:val="auto"/>
          <w:sz w:val="21"/>
          <w:szCs w:val="21"/>
          <w:highlight w:val="none"/>
          <w:u w:val="single"/>
        </w:rPr>
        <w:t xml:space="preserve">                                </w:t>
      </w:r>
    </w:p>
    <w:p w14:paraId="16A461AC">
      <w:pPr>
        <w:pStyle w:val="7"/>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二、质疑项目基本情况</w:t>
      </w:r>
    </w:p>
    <w:p w14:paraId="0EA636F7">
      <w:pPr>
        <w:pStyle w:val="7"/>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质疑项目的名称：</w:t>
      </w:r>
      <w:r>
        <w:rPr>
          <w:rFonts w:hint="eastAsia" w:ascii="宋体" w:hAnsi="宋体" w:eastAsia="宋体" w:cs="宋体"/>
          <w:color w:val="auto"/>
          <w:sz w:val="21"/>
          <w:szCs w:val="21"/>
          <w:highlight w:val="none"/>
          <w:u w:val="single"/>
        </w:rPr>
        <w:t xml:space="preserve">                            </w:t>
      </w:r>
    </w:p>
    <w:p w14:paraId="75DA1135">
      <w:pPr>
        <w:pStyle w:val="7"/>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质疑项目的编号：</w:t>
      </w:r>
      <w:r>
        <w:rPr>
          <w:rFonts w:hint="eastAsia" w:ascii="宋体" w:hAnsi="宋体" w:eastAsia="宋体" w:cs="宋体"/>
          <w:color w:val="auto"/>
          <w:sz w:val="21"/>
          <w:szCs w:val="21"/>
          <w:highlight w:val="none"/>
          <w:u w:val="single"/>
        </w:rPr>
        <w:t xml:space="preserve">                          </w:t>
      </w:r>
    </w:p>
    <w:p w14:paraId="1853B380">
      <w:pPr>
        <w:pStyle w:val="7"/>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包号：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629A9E27">
      <w:pPr>
        <w:pStyle w:val="7"/>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采购人名称：</w:t>
      </w:r>
      <w:r>
        <w:rPr>
          <w:rFonts w:hint="eastAsia" w:ascii="宋体" w:hAnsi="宋体" w:eastAsia="宋体" w:cs="宋体"/>
          <w:color w:val="auto"/>
          <w:sz w:val="21"/>
          <w:szCs w:val="21"/>
          <w:highlight w:val="none"/>
          <w:u w:val="single"/>
        </w:rPr>
        <w:t xml:space="preserve">                            </w:t>
      </w:r>
    </w:p>
    <w:p w14:paraId="34266A9C">
      <w:pPr>
        <w:pStyle w:val="7"/>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采购文件获取日期：</w:t>
      </w:r>
      <w:r>
        <w:rPr>
          <w:rFonts w:hint="eastAsia" w:ascii="宋体" w:hAnsi="宋体" w:eastAsia="宋体" w:cs="宋体"/>
          <w:color w:val="auto"/>
          <w:sz w:val="21"/>
          <w:szCs w:val="21"/>
          <w:highlight w:val="none"/>
          <w:u w:val="single"/>
        </w:rPr>
        <w:t xml:space="preserve">                             </w:t>
      </w:r>
    </w:p>
    <w:p w14:paraId="0EEAE423">
      <w:pPr>
        <w:pStyle w:val="7"/>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三、质疑事项具体内容</w:t>
      </w:r>
    </w:p>
    <w:p w14:paraId="585D3A39">
      <w:pPr>
        <w:pStyle w:val="7"/>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质疑事项1：</w:t>
      </w:r>
      <w:r>
        <w:rPr>
          <w:rFonts w:hint="eastAsia" w:ascii="宋体" w:hAnsi="宋体" w:eastAsia="宋体" w:cs="宋体"/>
          <w:color w:val="auto"/>
          <w:sz w:val="21"/>
          <w:szCs w:val="21"/>
          <w:highlight w:val="none"/>
          <w:u w:val="single"/>
        </w:rPr>
        <w:t xml:space="preserve">                             </w:t>
      </w:r>
    </w:p>
    <w:p w14:paraId="2012122F">
      <w:pPr>
        <w:pStyle w:val="7"/>
        <w:keepNext w:val="0"/>
        <w:keepLines w:val="0"/>
        <w:pageBreakBefore w:val="0"/>
        <w:kinsoku/>
        <w:wordWrap/>
        <w:overflowPunct/>
        <w:topLinePunct w:val="0"/>
        <w:autoSpaceDE/>
        <w:autoSpaceDN/>
        <w:bidi w:val="0"/>
        <w:adjustRightInd/>
        <w:snapToGrid/>
        <w:spacing w:beforeAutospacing="0" w:afterAutospacing="0" w:line="264" w:lineRule="auto"/>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事实依据：</w:t>
      </w:r>
      <w:r>
        <w:rPr>
          <w:rFonts w:hint="eastAsia" w:ascii="宋体" w:hAnsi="宋体" w:eastAsia="宋体" w:cs="宋体"/>
          <w:color w:val="auto"/>
          <w:sz w:val="21"/>
          <w:szCs w:val="21"/>
          <w:highlight w:val="none"/>
          <w:u w:val="single"/>
        </w:rPr>
        <w:t xml:space="preserve">                                                   </w:t>
      </w:r>
    </w:p>
    <w:p w14:paraId="6AB6A26D">
      <w:pPr>
        <w:pStyle w:val="7"/>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法律依据：</w:t>
      </w:r>
      <w:r>
        <w:rPr>
          <w:rFonts w:hint="eastAsia" w:ascii="宋体" w:hAnsi="宋体" w:eastAsia="宋体" w:cs="宋体"/>
          <w:color w:val="auto"/>
          <w:sz w:val="21"/>
          <w:szCs w:val="21"/>
          <w:highlight w:val="none"/>
          <w:u w:val="single"/>
        </w:rPr>
        <w:t xml:space="preserve">                                                    </w:t>
      </w:r>
    </w:p>
    <w:p w14:paraId="626FCB11">
      <w:pPr>
        <w:pStyle w:val="7"/>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质疑事项2</w:t>
      </w:r>
    </w:p>
    <w:p w14:paraId="21D20274">
      <w:pPr>
        <w:pStyle w:val="7"/>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51A94D5F">
      <w:pPr>
        <w:pStyle w:val="7"/>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四、与质疑事项相关的质疑请求</w:t>
      </w:r>
    </w:p>
    <w:p w14:paraId="0F694A06">
      <w:pPr>
        <w:pStyle w:val="7"/>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请求：</w:t>
      </w:r>
      <w:r>
        <w:rPr>
          <w:rFonts w:hint="eastAsia" w:ascii="宋体" w:hAnsi="宋体" w:eastAsia="宋体" w:cs="宋体"/>
          <w:color w:val="auto"/>
          <w:sz w:val="21"/>
          <w:szCs w:val="21"/>
          <w:highlight w:val="none"/>
          <w:u w:val="single"/>
        </w:rPr>
        <w:t xml:space="preserve">                                                          </w:t>
      </w:r>
    </w:p>
    <w:p w14:paraId="28CE3789">
      <w:pPr>
        <w:pStyle w:val="7"/>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日期：    </w:t>
      </w:r>
    </w:p>
    <w:p w14:paraId="5CEBEE9E">
      <w:pPr>
        <w:pStyle w:val="7"/>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质疑函制作说明：</w:t>
      </w:r>
    </w:p>
    <w:p w14:paraId="7472270A">
      <w:pPr>
        <w:pStyle w:val="7"/>
        <w:keepNext w:val="0"/>
        <w:keepLines w:val="0"/>
        <w:pageBreakBefore w:val="0"/>
        <w:widowControl/>
        <w:kinsoku/>
        <w:wordWrap/>
        <w:overflowPunct/>
        <w:topLinePunct w:val="0"/>
        <w:autoSpaceDE/>
        <w:autoSpaceDN/>
        <w:bidi w:val="0"/>
        <w:adjustRightInd/>
        <w:snapToGrid/>
        <w:spacing w:beforeAutospacing="0" w:afterAutospacing="0" w:line="264" w:lineRule="auto"/>
        <w:ind w:firstLine="48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1.供应商提出质疑时，应提交质疑函和必要的证明材料。</w:t>
      </w:r>
    </w:p>
    <w:p w14:paraId="2229EC7A">
      <w:pPr>
        <w:pStyle w:val="7"/>
        <w:keepNext w:val="0"/>
        <w:keepLines w:val="0"/>
        <w:pageBreakBefore w:val="0"/>
        <w:widowControl/>
        <w:kinsoku/>
        <w:wordWrap/>
        <w:overflowPunct/>
        <w:topLinePunct w:val="0"/>
        <w:autoSpaceDE/>
        <w:autoSpaceDN/>
        <w:bidi w:val="0"/>
        <w:adjustRightInd/>
        <w:snapToGrid/>
        <w:spacing w:beforeAutospacing="0" w:afterAutospacing="0" w:line="264" w:lineRule="auto"/>
        <w:ind w:firstLine="48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645ACBE">
      <w:pPr>
        <w:pStyle w:val="7"/>
        <w:keepNext w:val="0"/>
        <w:keepLines w:val="0"/>
        <w:pageBreakBefore w:val="0"/>
        <w:widowControl/>
        <w:kinsoku/>
        <w:wordWrap/>
        <w:overflowPunct/>
        <w:topLinePunct w:val="0"/>
        <w:autoSpaceDE/>
        <w:autoSpaceDN/>
        <w:bidi w:val="0"/>
        <w:adjustRightInd/>
        <w:snapToGrid/>
        <w:spacing w:beforeAutospacing="0" w:afterAutospacing="0" w:line="264" w:lineRule="auto"/>
        <w:ind w:firstLine="48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3.质疑供应商若对项目的某一分包进行质疑，质疑函中应列明具体分包号。</w:t>
      </w:r>
    </w:p>
    <w:p w14:paraId="55301288">
      <w:pPr>
        <w:pStyle w:val="7"/>
        <w:keepNext w:val="0"/>
        <w:keepLines w:val="0"/>
        <w:pageBreakBefore w:val="0"/>
        <w:widowControl/>
        <w:kinsoku/>
        <w:wordWrap/>
        <w:overflowPunct/>
        <w:topLinePunct w:val="0"/>
        <w:autoSpaceDE/>
        <w:autoSpaceDN/>
        <w:bidi w:val="0"/>
        <w:adjustRightInd/>
        <w:snapToGrid/>
        <w:spacing w:beforeAutospacing="0" w:afterAutospacing="0" w:line="264" w:lineRule="auto"/>
        <w:ind w:firstLine="48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4.质疑函的质疑事项应具体、明确，并有必要的事实依据和法律依据。</w:t>
      </w:r>
    </w:p>
    <w:p w14:paraId="08797C1B">
      <w:pPr>
        <w:pStyle w:val="7"/>
        <w:keepNext w:val="0"/>
        <w:keepLines w:val="0"/>
        <w:pageBreakBefore w:val="0"/>
        <w:widowControl/>
        <w:kinsoku/>
        <w:wordWrap/>
        <w:overflowPunct/>
        <w:topLinePunct w:val="0"/>
        <w:autoSpaceDE/>
        <w:autoSpaceDN/>
        <w:bidi w:val="0"/>
        <w:adjustRightInd/>
        <w:snapToGrid/>
        <w:spacing w:beforeAutospacing="0" w:afterAutospacing="0" w:line="264" w:lineRule="auto"/>
        <w:ind w:firstLine="48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5.质疑函的质疑请求应与质疑事项相关。</w:t>
      </w:r>
    </w:p>
    <w:p w14:paraId="43BE5F86">
      <w:pPr>
        <w:pStyle w:val="7"/>
        <w:keepNext w:val="0"/>
        <w:keepLines w:val="0"/>
        <w:pageBreakBefore w:val="0"/>
        <w:widowControl/>
        <w:kinsoku/>
        <w:wordWrap/>
        <w:overflowPunct/>
        <w:topLinePunct w:val="0"/>
        <w:autoSpaceDE/>
        <w:autoSpaceDN/>
        <w:bidi w:val="0"/>
        <w:adjustRightInd/>
        <w:snapToGrid/>
        <w:spacing w:beforeAutospacing="0" w:afterAutospacing="0" w:line="264" w:lineRule="auto"/>
        <w:ind w:firstLine="48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6.质疑供应商为自然人的，质疑函应由本人签字；质疑供应商为法人或者其他组织的，质疑函应由法定代表人、主要负责人，或者其授权代表签字或者盖章，并加盖公章。</w:t>
      </w:r>
    </w:p>
    <w:p w14:paraId="58742965">
      <w:pPr>
        <w:pStyle w:val="7"/>
        <w:keepNext w:val="0"/>
        <w:keepLines w:val="0"/>
        <w:pageBreakBefore w:val="0"/>
        <w:kinsoku/>
        <w:wordWrap/>
        <w:overflowPunct/>
        <w:topLinePunct w:val="0"/>
        <w:autoSpaceDE/>
        <w:autoSpaceDN/>
        <w:bidi w:val="0"/>
        <w:adjustRightInd/>
        <w:snapToGrid/>
        <w:spacing w:beforeAutospacing="0" w:afterAutospacing="0" w:line="264" w:lineRule="auto"/>
        <w:ind w:firstLine="420"/>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2ABE4FEE">
      <w:pPr>
        <w:keepNext w:val="0"/>
        <w:keepLines w:val="0"/>
        <w:pageBreakBefore w:val="0"/>
        <w:kinsoku/>
        <w:wordWrap/>
        <w:overflowPunct/>
        <w:topLinePunct w:val="0"/>
        <w:autoSpaceDE/>
        <w:autoSpaceDN/>
        <w:bidi w:val="0"/>
        <w:adjustRightInd/>
        <w:snapToGrid/>
        <w:spacing w:line="264" w:lineRule="auto"/>
        <w:textAlignment w:val="auto"/>
        <w:rPr>
          <w:color w:val="auto"/>
          <w:sz w:val="21"/>
          <w:szCs w:val="21"/>
          <w:highlight w:val="none"/>
        </w:rPr>
      </w:pPr>
    </w:p>
    <w:bookmarkEnd w:id="204"/>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AE926">
    <w:pPr>
      <w:pStyle w:val="5"/>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5385C">
    <w:pPr>
      <w:pStyle w:val="5"/>
      <w:jc w:val="center"/>
      <w:rPr>
        <w:rFonts w:hint="default" w:ascii="宋体" w:hAnsi="宋体" w:eastAsia="宋体" w:cs="宋体"/>
        <w:lang w:val="en-US"/>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DD7B7A">
                          <w:pPr>
                            <w:pStyle w:val="5"/>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3</w:t>
                          </w:r>
                          <w:r>
                            <w:rPr>
                              <w:rFonts w:hint="eastAsia" w:ascii="宋体" w:hAnsi="宋体" w:eastAsia="宋体" w:cs="宋体"/>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DDD7B7A">
                    <w:pPr>
                      <w:pStyle w:val="5"/>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3</w:t>
                    </w:r>
                    <w:r>
                      <w:rPr>
                        <w:rFonts w:hint="eastAsia" w:ascii="宋体" w:hAnsi="宋体" w:eastAsia="宋体" w:cs="宋体"/>
                      </w:rPr>
                      <w:fldChar w:fldCharType="end"/>
                    </w:r>
                  </w:p>
                </w:txbxContent>
              </v:textbox>
            </v:shape>
          </w:pict>
        </mc:Fallback>
      </mc:AlternateContent>
    </w:r>
    <w:r>
      <w:rPr>
        <w:rFonts w:hint="eastAsia"/>
        <w:lang w:val="en-US" w:eastAsia="zh-CN"/>
      </w:rP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EBBEA5"/>
    <w:multiLevelType w:val="singleLevel"/>
    <w:tmpl w:val="C6EBBEA5"/>
    <w:lvl w:ilvl="0" w:tentative="0">
      <w:start w:val="1"/>
      <w:numFmt w:val="decimal"/>
      <w:suff w:val="space"/>
      <w:lvlText w:val="%1."/>
      <w:lvlJc w:val="left"/>
    </w:lvl>
  </w:abstractNum>
  <w:abstractNum w:abstractNumId="1">
    <w:nsid w:val="457BB5B5"/>
    <w:multiLevelType w:val="singleLevel"/>
    <w:tmpl w:val="457BB5B5"/>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M0OGM1MTljOTA0MmM1NzUzNzhhNGYxYjdhMmEwZWYifQ=="/>
  </w:docVars>
  <w:rsids>
    <w:rsidRoot w:val="00172A27"/>
    <w:rsid w:val="00075369"/>
    <w:rsid w:val="00077137"/>
    <w:rsid w:val="00093DD2"/>
    <w:rsid w:val="00100CC0"/>
    <w:rsid w:val="00131CB1"/>
    <w:rsid w:val="00172A27"/>
    <w:rsid w:val="00177F0B"/>
    <w:rsid w:val="001A3225"/>
    <w:rsid w:val="001F4115"/>
    <w:rsid w:val="00215AA4"/>
    <w:rsid w:val="00251125"/>
    <w:rsid w:val="002E61F3"/>
    <w:rsid w:val="002F12F8"/>
    <w:rsid w:val="003C1A89"/>
    <w:rsid w:val="003C6894"/>
    <w:rsid w:val="0043276E"/>
    <w:rsid w:val="004529E6"/>
    <w:rsid w:val="00455E51"/>
    <w:rsid w:val="004670D5"/>
    <w:rsid w:val="00474047"/>
    <w:rsid w:val="00491F6E"/>
    <w:rsid w:val="004D3110"/>
    <w:rsid w:val="00502ACB"/>
    <w:rsid w:val="00520AC5"/>
    <w:rsid w:val="00552DFB"/>
    <w:rsid w:val="005E57E9"/>
    <w:rsid w:val="006932C0"/>
    <w:rsid w:val="006B6F15"/>
    <w:rsid w:val="007871B9"/>
    <w:rsid w:val="007A220C"/>
    <w:rsid w:val="007A7B98"/>
    <w:rsid w:val="007B1CF4"/>
    <w:rsid w:val="00817A96"/>
    <w:rsid w:val="0088127E"/>
    <w:rsid w:val="008B090D"/>
    <w:rsid w:val="008E4636"/>
    <w:rsid w:val="00935693"/>
    <w:rsid w:val="00A4304F"/>
    <w:rsid w:val="00A62079"/>
    <w:rsid w:val="00A70028"/>
    <w:rsid w:val="00A80AB0"/>
    <w:rsid w:val="00AA2A8E"/>
    <w:rsid w:val="00B07FD4"/>
    <w:rsid w:val="00B454C4"/>
    <w:rsid w:val="00BE692E"/>
    <w:rsid w:val="00BE787D"/>
    <w:rsid w:val="00C30C78"/>
    <w:rsid w:val="00C36D58"/>
    <w:rsid w:val="00C83D22"/>
    <w:rsid w:val="00C86C58"/>
    <w:rsid w:val="00CB578B"/>
    <w:rsid w:val="00D1282F"/>
    <w:rsid w:val="00D550E3"/>
    <w:rsid w:val="00D63F4B"/>
    <w:rsid w:val="00D93FCD"/>
    <w:rsid w:val="00E57898"/>
    <w:rsid w:val="00E6087B"/>
    <w:rsid w:val="00EB2F1E"/>
    <w:rsid w:val="00F130C8"/>
    <w:rsid w:val="00F264FD"/>
    <w:rsid w:val="00F33192"/>
    <w:rsid w:val="00F50207"/>
    <w:rsid w:val="00F8669E"/>
    <w:rsid w:val="00F957B2"/>
    <w:rsid w:val="00FC6132"/>
    <w:rsid w:val="00FE3C91"/>
    <w:rsid w:val="01041002"/>
    <w:rsid w:val="013E2686"/>
    <w:rsid w:val="014036E0"/>
    <w:rsid w:val="01416DF2"/>
    <w:rsid w:val="015C3D17"/>
    <w:rsid w:val="01A86A05"/>
    <w:rsid w:val="01C209CB"/>
    <w:rsid w:val="02025461"/>
    <w:rsid w:val="02094E3E"/>
    <w:rsid w:val="02357688"/>
    <w:rsid w:val="025D08EA"/>
    <w:rsid w:val="025F42E5"/>
    <w:rsid w:val="02851591"/>
    <w:rsid w:val="02BD5381"/>
    <w:rsid w:val="02D505AD"/>
    <w:rsid w:val="03231B33"/>
    <w:rsid w:val="03365B5E"/>
    <w:rsid w:val="034E4AD1"/>
    <w:rsid w:val="037E0789"/>
    <w:rsid w:val="03913FFC"/>
    <w:rsid w:val="04042238"/>
    <w:rsid w:val="04163FA9"/>
    <w:rsid w:val="044B6C77"/>
    <w:rsid w:val="04CF1FA6"/>
    <w:rsid w:val="0530678A"/>
    <w:rsid w:val="056A63E5"/>
    <w:rsid w:val="056E5657"/>
    <w:rsid w:val="05AD05DE"/>
    <w:rsid w:val="05BD3D79"/>
    <w:rsid w:val="05D1541D"/>
    <w:rsid w:val="05D763F5"/>
    <w:rsid w:val="0621639E"/>
    <w:rsid w:val="062C42CE"/>
    <w:rsid w:val="063B7194"/>
    <w:rsid w:val="06764670"/>
    <w:rsid w:val="06867FD2"/>
    <w:rsid w:val="068A6E34"/>
    <w:rsid w:val="068C5825"/>
    <w:rsid w:val="06B12B65"/>
    <w:rsid w:val="06BD3726"/>
    <w:rsid w:val="06CA7B0F"/>
    <w:rsid w:val="070837B7"/>
    <w:rsid w:val="071D689A"/>
    <w:rsid w:val="07730ECD"/>
    <w:rsid w:val="07887E6F"/>
    <w:rsid w:val="07994E3B"/>
    <w:rsid w:val="07A02A3F"/>
    <w:rsid w:val="07A40F48"/>
    <w:rsid w:val="07F651C7"/>
    <w:rsid w:val="080A468F"/>
    <w:rsid w:val="0854758E"/>
    <w:rsid w:val="087F6BF6"/>
    <w:rsid w:val="0894513D"/>
    <w:rsid w:val="08992D34"/>
    <w:rsid w:val="08AC4D94"/>
    <w:rsid w:val="08BF6712"/>
    <w:rsid w:val="08C86899"/>
    <w:rsid w:val="08FB7AB7"/>
    <w:rsid w:val="09132265"/>
    <w:rsid w:val="094542D1"/>
    <w:rsid w:val="09616F12"/>
    <w:rsid w:val="096B5FE2"/>
    <w:rsid w:val="09D92A42"/>
    <w:rsid w:val="09FE79EC"/>
    <w:rsid w:val="0A00497C"/>
    <w:rsid w:val="0A717EE1"/>
    <w:rsid w:val="0AAF0151"/>
    <w:rsid w:val="0AB319EF"/>
    <w:rsid w:val="0ABC363A"/>
    <w:rsid w:val="0AD8294B"/>
    <w:rsid w:val="0B4B3B00"/>
    <w:rsid w:val="0B4D4DB9"/>
    <w:rsid w:val="0B8A23C1"/>
    <w:rsid w:val="0BA111B6"/>
    <w:rsid w:val="0BA22DC1"/>
    <w:rsid w:val="0BAE3813"/>
    <w:rsid w:val="0BBF7B93"/>
    <w:rsid w:val="0BFF003E"/>
    <w:rsid w:val="0C73202D"/>
    <w:rsid w:val="0C9413AC"/>
    <w:rsid w:val="0CBA0AB0"/>
    <w:rsid w:val="0CEB1914"/>
    <w:rsid w:val="0CFF0F1B"/>
    <w:rsid w:val="0D19717D"/>
    <w:rsid w:val="0D4D2FC1"/>
    <w:rsid w:val="0D86163D"/>
    <w:rsid w:val="0DBD655C"/>
    <w:rsid w:val="0DC246A2"/>
    <w:rsid w:val="0DE85E53"/>
    <w:rsid w:val="0E0362D5"/>
    <w:rsid w:val="0E0D4EAC"/>
    <w:rsid w:val="0E10093A"/>
    <w:rsid w:val="0E8B33B3"/>
    <w:rsid w:val="0E966A8C"/>
    <w:rsid w:val="0E9C279A"/>
    <w:rsid w:val="0EB36461"/>
    <w:rsid w:val="0EE61CD2"/>
    <w:rsid w:val="0EF81E0E"/>
    <w:rsid w:val="0F0A004B"/>
    <w:rsid w:val="0F566DED"/>
    <w:rsid w:val="0F655282"/>
    <w:rsid w:val="0F6D24BC"/>
    <w:rsid w:val="0F7D537E"/>
    <w:rsid w:val="0F8170C3"/>
    <w:rsid w:val="0FBC4A1F"/>
    <w:rsid w:val="0FC60977"/>
    <w:rsid w:val="0FCF67E9"/>
    <w:rsid w:val="0FE97C61"/>
    <w:rsid w:val="10007707"/>
    <w:rsid w:val="1025017A"/>
    <w:rsid w:val="106654C9"/>
    <w:rsid w:val="10B2533E"/>
    <w:rsid w:val="10FB40F0"/>
    <w:rsid w:val="11000BEA"/>
    <w:rsid w:val="11072A94"/>
    <w:rsid w:val="1115264F"/>
    <w:rsid w:val="119D51A7"/>
    <w:rsid w:val="11AB711C"/>
    <w:rsid w:val="11EB7CC0"/>
    <w:rsid w:val="11F052D6"/>
    <w:rsid w:val="125735A8"/>
    <w:rsid w:val="127F736A"/>
    <w:rsid w:val="12A21019"/>
    <w:rsid w:val="12CD73C6"/>
    <w:rsid w:val="12D9220E"/>
    <w:rsid w:val="12F015A0"/>
    <w:rsid w:val="131028D7"/>
    <w:rsid w:val="1326501E"/>
    <w:rsid w:val="132711CC"/>
    <w:rsid w:val="13D157F4"/>
    <w:rsid w:val="1434764C"/>
    <w:rsid w:val="143E4A1F"/>
    <w:rsid w:val="144162BD"/>
    <w:rsid w:val="14477BA7"/>
    <w:rsid w:val="14A42350"/>
    <w:rsid w:val="14BE16BC"/>
    <w:rsid w:val="156971DF"/>
    <w:rsid w:val="157923E7"/>
    <w:rsid w:val="15C50828"/>
    <w:rsid w:val="162C6AF9"/>
    <w:rsid w:val="163E3563"/>
    <w:rsid w:val="164B13EA"/>
    <w:rsid w:val="164C3941"/>
    <w:rsid w:val="169263C8"/>
    <w:rsid w:val="16A61788"/>
    <w:rsid w:val="16AF4856"/>
    <w:rsid w:val="16DD5188"/>
    <w:rsid w:val="16FC471D"/>
    <w:rsid w:val="170045BA"/>
    <w:rsid w:val="174D6D27"/>
    <w:rsid w:val="174D7871"/>
    <w:rsid w:val="17666D47"/>
    <w:rsid w:val="176F0FD8"/>
    <w:rsid w:val="17732C32"/>
    <w:rsid w:val="178521C3"/>
    <w:rsid w:val="17884203"/>
    <w:rsid w:val="17C52CBF"/>
    <w:rsid w:val="17E01FDC"/>
    <w:rsid w:val="180644C4"/>
    <w:rsid w:val="18574301"/>
    <w:rsid w:val="18B82EA1"/>
    <w:rsid w:val="18BC4109"/>
    <w:rsid w:val="18D23988"/>
    <w:rsid w:val="192E42B0"/>
    <w:rsid w:val="193260E4"/>
    <w:rsid w:val="19441A3D"/>
    <w:rsid w:val="19835197"/>
    <w:rsid w:val="19A11C2E"/>
    <w:rsid w:val="19A74E14"/>
    <w:rsid w:val="19B608B3"/>
    <w:rsid w:val="1A1C3150"/>
    <w:rsid w:val="1A283EAB"/>
    <w:rsid w:val="1A4F2C83"/>
    <w:rsid w:val="1AA839EE"/>
    <w:rsid w:val="1AD2708F"/>
    <w:rsid w:val="1AD75285"/>
    <w:rsid w:val="1AE6196C"/>
    <w:rsid w:val="1AFF2A2E"/>
    <w:rsid w:val="1B193AF0"/>
    <w:rsid w:val="1B5508A0"/>
    <w:rsid w:val="1B5F5046"/>
    <w:rsid w:val="1B656D35"/>
    <w:rsid w:val="1B9509DF"/>
    <w:rsid w:val="1BA002D8"/>
    <w:rsid w:val="1BDD1B49"/>
    <w:rsid w:val="1C2A474C"/>
    <w:rsid w:val="1C493F61"/>
    <w:rsid w:val="1CAB20E9"/>
    <w:rsid w:val="1CAC4347"/>
    <w:rsid w:val="1CDB4ADE"/>
    <w:rsid w:val="1D1C1092"/>
    <w:rsid w:val="1D35071D"/>
    <w:rsid w:val="1D605A5A"/>
    <w:rsid w:val="1D7E10D5"/>
    <w:rsid w:val="1D812873"/>
    <w:rsid w:val="1D9C60CD"/>
    <w:rsid w:val="1DAF7BE7"/>
    <w:rsid w:val="1DDF4451"/>
    <w:rsid w:val="1DE16D61"/>
    <w:rsid w:val="1DE2466D"/>
    <w:rsid w:val="1DFD1285"/>
    <w:rsid w:val="1E4A0464"/>
    <w:rsid w:val="1E4E1D03"/>
    <w:rsid w:val="1EA31C76"/>
    <w:rsid w:val="1EBB6C6C"/>
    <w:rsid w:val="1EC70509"/>
    <w:rsid w:val="1EE6018D"/>
    <w:rsid w:val="1F250F84"/>
    <w:rsid w:val="1F4A0271"/>
    <w:rsid w:val="1F8E4729"/>
    <w:rsid w:val="1FA5245A"/>
    <w:rsid w:val="1FC7762D"/>
    <w:rsid w:val="1FFC12EA"/>
    <w:rsid w:val="2000702C"/>
    <w:rsid w:val="205C376D"/>
    <w:rsid w:val="20607ACB"/>
    <w:rsid w:val="20677E3C"/>
    <w:rsid w:val="20733730"/>
    <w:rsid w:val="209429D0"/>
    <w:rsid w:val="20976A86"/>
    <w:rsid w:val="20A83FAF"/>
    <w:rsid w:val="20CE42A1"/>
    <w:rsid w:val="215025DE"/>
    <w:rsid w:val="21827A71"/>
    <w:rsid w:val="219043E0"/>
    <w:rsid w:val="21CC717D"/>
    <w:rsid w:val="22424AA4"/>
    <w:rsid w:val="224621A6"/>
    <w:rsid w:val="228C104B"/>
    <w:rsid w:val="22934188"/>
    <w:rsid w:val="22AF4D3A"/>
    <w:rsid w:val="22F62B8A"/>
    <w:rsid w:val="22FE0938"/>
    <w:rsid w:val="23151041"/>
    <w:rsid w:val="23254D08"/>
    <w:rsid w:val="2351194D"/>
    <w:rsid w:val="23534E2B"/>
    <w:rsid w:val="242C02D7"/>
    <w:rsid w:val="24533DC2"/>
    <w:rsid w:val="24BE643D"/>
    <w:rsid w:val="24D1159B"/>
    <w:rsid w:val="24D34D10"/>
    <w:rsid w:val="2532334D"/>
    <w:rsid w:val="259B3353"/>
    <w:rsid w:val="2601530D"/>
    <w:rsid w:val="26750FF7"/>
    <w:rsid w:val="26814217"/>
    <w:rsid w:val="268C52A3"/>
    <w:rsid w:val="27194423"/>
    <w:rsid w:val="27206206"/>
    <w:rsid w:val="27290FC5"/>
    <w:rsid w:val="275F6D2E"/>
    <w:rsid w:val="27767BD4"/>
    <w:rsid w:val="27913619"/>
    <w:rsid w:val="28027F4E"/>
    <w:rsid w:val="280F2F92"/>
    <w:rsid w:val="282C0298"/>
    <w:rsid w:val="284E18A1"/>
    <w:rsid w:val="28670377"/>
    <w:rsid w:val="28BC3D0D"/>
    <w:rsid w:val="28ED41CD"/>
    <w:rsid w:val="28FE41FC"/>
    <w:rsid w:val="29236F44"/>
    <w:rsid w:val="29345C52"/>
    <w:rsid w:val="2996274E"/>
    <w:rsid w:val="29BD7D3C"/>
    <w:rsid w:val="29F12902"/>
    <w:rsid w:val="29F179E6"/>
    <w:rsid w:val="2A4648B7"/>
    <w:rsid w:val="2A9A62D0"/>
    <w:rsid w:val="2ABF31A1"/>
    <w:rsid w:val="2AF36A99"/>
    <w:rsid w:val="2B005440"/>
    <w:rsid w:val="2BCA6741"/>
    <w:rsid w:val="2C03574A"/>
    <w:rsid w:val="2C0A4EA8"/>
    <w:rsid w:val="2C1125C1"/>
    <w:rsid w:val="2C1413B5"/>
    <w:rsid w:val="2C401DDB"/>
    <w:rsid w:val="2C7B3B05"/>
    <w:rsid w:val="2CC277F5"/>
    <w:rsid w:val="2CD74504"/>
    <w:rsid w:val="2CEA709A"/>
    <w:rsid w:val="2D1161A8"/>
    <w:rsid w:val="2D39592C"/>
    <w:rsid w:val="2D684463"/>
    <w:rsid w:val="2DBE22D5"/>
    <w:rsid w:val="2DEE1068"/>
    <w:rsid w:val="2E0C4DEE"/>
    <w:rsid w:val="2E250A7D"/>
    <w:rsid w:val="2E5B4EF5"/>
    <w:rsid w:val="2E5E7AF7"/>
    <w:rsid w:val="2E6D6F9C"/>
    <w:rsid w:val="2E9F2106"/>
    <w:rsid w:val="2EE73822"/>
    <w:rsid w:val="2EF32A07"/>
    <w:rsid w:val="2EF97420"/>
    <w:rsid w:val="2F266384"/>
    <w:rsid w:val="2F2A5E74"/>
    <w:rsid w:val="2F2D3B68"/>
    <w:rsid w:val="2F857AD5"/>
    <w:rsid w:val="2FA80D19"/>
    <w:rsid w:val="2FAD4FD9"/>
    <w:rsid w:val="2FB346FB"/>
    <w:rsid w:val="2FBC7215"/>
    <w:rsid w:val="2FFA5778"/>
    <w:rsid w:val="30495C84"/>
    <w:rsid w:val="30650005"/>
    <w:rsid w:val="310333AD"/>
    <w:rsid w:val="31034C92"/>
    <w:rsid w:val="3126266B"/>
    <w:rsid w:val="31522189"/>
    <w:rsid w:val="318E0F10"/>
    <w:rsid w:val="319B502B"/>
    <w:rsid w:val="31DB0550"/>
    <w:rsid w:val="3203475A"/>
    <w:rsid w:val="320B1521"/>
    <w:rsid w:val="32531113"/>
    <w:rsid w:val="325A4A41"/>
    <w:rsid w:val="325B00F2"/>
    <w:rsid w:val="329B0309"/>
    <w:rsid w:val="329E6CD8"/>
    <w:rsid w:val="32AE0B6A"/>
    <w:rsid w:val="32E77BD8"/>
    <w:rsid w:val="330C7E05"/>
    <w:rsid w:val="331D578A"/>
    <w:rsid w:val="33440753"/>
    <w:rsid w:val="334B4AB3"/>
    <w:rsid w:val="33773E42"/>
    <w:rsid w:val="33A90982"/>
    <w:rsid w:val="34063DCA"/>
    <w:rsid w:val="3409636E"/>
    <w:rsid w:val="341B5D8B"/>
    <w:rsid w:val="341B63BE"/>
    <w:rsid w:val="34367069"/>
    <w:rsid w:val="34732681"/>
    <w:rsid w:val="34E14EA2"/>
    <w:rsid w:val="34E346A0"/>
    <w:rsid w:val="35243A1C"/>
    <w:rsid w:val="353572D6"/>
    <w:rsid w:val="359B1151"/>
    <w:rsid w:val="35A41DB0"/>
    <w:rsid w:val="35AD49A2"/>
    <w:rsid w:val="35B144E6"/>
    <w:rsid w:val="35BC534C"/>
    <w:rsid w:val="36170C1A"/>
    <w:rsid w:val="36172BC3"/>
    <w:rsid w:val="36326140"/>
    <w:rsid w:val="36721EAF"/>
    <w:rsid w:val="368B65A6"/>
    <w:rsid w:val="36CC7C95"/>
    <w:rsid w:val="36E076F0"/>
    <w:rsid w:val="36EB650A"/>
    <w:rsid w:val="374271CD"/>
    <w:rsid w:val="375715E7"/>
    <w:rsid w:val="375B1FDF"/>
    <w:rsid w:val="378133A9"/>
    <w:rsid w:val="379F0189"/>
    <w:rsid w:val="3836588A"/>
    <w:rsid w:val="383A233E"/>
    <w:rsid w:val="38EB32BA"/>
    <w:rsid w:val="39064D8A"/>
    <w:rsid w:val="39101F1B"/>
    <w:rsid w:val="392D7EB3"/>
    <w:rsid w:val="39643D30"/>
    <w:rsid w:val="39720FC7"/>
    <w:rsid w:val="39837940"/>
    <w:rsid w:val="398C1968"/>
    <w:rsid w:val="39987E7E"/>
    <w:rsid w:val="39A84137"/>
    <w:rsid w:val="39C40074"/>
    <w:rsid w:val="39CD52E9"/>
    <w:rsid w:val="3A173B31"/>
    <w:rsid w:val="3A1C0AAF"/>
    <w:rsid w:val="3A575643"/>
    <w:rsid w:val="3A64388F"/>
    <w:rsid w:val="3A931F62"/>
    <w:rsid w:val="3AB02FA5"/>
    <w:rsid w:val="3AF26584"/>
    <w:rsid w:val="3B0B043D"/>
    <w:rsid w:val="3B343BD6"/>
    <w:rsid w:val="3B3C6B13"/>
    <w:rsid w:val="3B702E61"/>
    <w:rsid w:val="3B9710EF"/>
    <w:rsid w:val="3BA54ED8"/>
    <w:rsid w:val="3BDF2457"/>
    <w:rsid w:val="3BDF7FE6"/>
    <w:rsid w:val="3BE61307"/>
    <w:rsid w:val="3BEE025D"/>
    <w:rsid w:val="3C7301F1"/>
    <w:rsid w:val="3CAB308A"/>
    <w:rsid w:val="3CB11983"/>
    <w:rsid w:val="3CC36DCD"/>
    <w:rsid w:val="3D023F8C"/>
    <w:rsid w:val="3D031AB2"/>
    <w:rsid w:val="3D0C4E0B"/>
    <w:rsid w:val="3D23372C"/>
    <w:rsid w:val="3D2823FA"/>
    <w:rsid w:val="3D581DFE"/>
    <w:rsid w:val="3D6A4AAA"/>
    <w:rsid w:val="3DA13452"/>
    <w:rsid w:val="3DB37034"/>
    <w:rsid w:val="3DF80C94"/>
    <w:rsid w:val="3DFD4754"/>
    <w:rsid w:val="3E064F5A"/>
    <w:rsid w:val="3E161B6B"/>
    <w:rsid w:val="3E1821B4"/>
    <w:rsid w:val="3E496B6B"/>
    <w:rsid w:val="3E643562"/>
    <w:rsid w:val="3E65398B"/>
    <w:rsid w:val="3E6B1DD8"/>
    <w:rsid w:val="3E7F5998"/>
    <w:rsid w:val="3E9519A7"/>
    <w:rsid w:val="3EED6576"/>
    <w:rsid w:val="3F0056DB"/>
    <w:rsid w:val="3F0156C1"/>
    <w:rsid w:val="3F12422F"/>
    <w:rsid w:val="3F1A3023"/>
    <w:rsid w:val="3F23643C"/>
    <w:rsid w:val="3F243A9D"/>
    <w:rsid w:val="3FC26720"/>
    <w:rsid w:val="3FE866B1"/>
    <w:rsid w:val="40183119"/>
    <w:rsid w:val="40196E68"/>
    <w:rsid w:val="40260F22"/>
    <w:rsid w:val="402B33C8"/>
    <w:rsid w:val="40350295"/>
    <w:rsid w:val="406E1D8D"/>
    <w:rsid w:val="40825D29"/>
    <w:rsid w:val="408E004E"/>
    <w:rsid w:val="410E2630"/>
    <w:rsid w:val="4120672C"/>
    <w:rsid w:val="41526B64"/>
    <w:rsid w:val="42053C57"/>
    <w:rsid w:val="42202600"/>
    <w:rsid w:val="42214BD9"/>
    <w:rsid w:val="423224F1"/>
    <w:rsid w:val="42324DFA"/>
    <w:rsid w:val="42AF59D8"/>
    <w:rsid w:val="431353F3"/>
    <w:rsid w:val="43183A6B"/>
    <w:rsid w:val="43455446"/>
    <w:rsid w:val="437B6846"/>
    <w:rsid w:val="439D6909"/>
    <w:rsid w:val="441B2C89"/>
    <w:rsid w:val="4450382F"/>
    <w:rsid w:val="44C335AB"/>
    <w:rsid w:val="44DA072F"/>
    <w:rsid w:val="44F67F8B"/>
    <w:rsid w:val="4513485D"/>
    <w:rsid w:val="4522110B"/>
    <w:rsid w:val="454D0F8E"/>
    <w:rsid w:val="45890E3A"/>
    <w:rsid w:val="45E926CA"/>
    <w:rsid w:val="45FC0A54"/>
    <w:rsid w:val="461D469A"/>
    <w:rsid w:val="46302C89"/>
    <w:rsid w:val="4645445C"/>
    <w:rsid w:val="466976E6"/>
    <w:rsid w:val="46D32596"/>
    <w:rsid w:val="46EA0CE7"/>
    <w:rsid w:val="46F32B98"/>
    <w:rsid w:val="470D4256"/>
    <w:rsid w:val="472208AE"/>
    <w:rsid w:val="474A1D73"/>
    <w:rsid w:val="47704C41"/>
    <w:rsid w:val="47755C7D"/>
    <w:rsid w:val="477F6C5D"/>
    <w:rsid w:val="479A25B3"/>
    <w:rsid w:val="47B925F3"/>
    <w:rsid w:val="47DB18C9"/>
    <w:rsid w:val="486426EC"/>
    <w:rsid w:val="48771F96"/>
    <w:rsid w:val="48910AEC"/>
    <w:rsid w:val="48913E27"/>
    <w:rsid w:val="489D725F"/>
    <w:rsid w:val="48B3170D"/>
    <w:rsid w:val="49347B05"/>
    <w:rsid w:val="493C7DE9"/>
    <w:rsid w:val="497E25B9"/>
    <w:rsid w:val="49CA7BE0"/>
    <w:rsid w:val="49D62B33"/>
    <w:rsid w:val="4A196CF2"/>
    <w:rsid w:val="4A1E13B4"/>
    <w:rsid w:val="4A2863AA"/>
    <w:rsid w:val="4A2C49B0"/>
    <w:rsid w:val="4A6E6D4D"/>
    <w:rsid w:val="4A7D1B0F"/>
    <w:rsid w:val="4A974349"/>
    <w:rsid w:val="4AA12E6E"/>
    <w:rsid w:val="4AAC50D1"/>
    <w:rsid w:val="4AF57D24"/>
    <w:rsid w:val="4AF64A04"/>
    <w:rsid w:val="4AFA44F5"/>
    <w:rsid w:val="4B0C37B9"/>
    <w:rsid w:val="4B8821DE"/>
    <w:rsid w:val="4B944949"/>
    <w:rsid w:val="4BC33B49"/>
    <w:rsid w:val="4BD12EAB"/>
    <w:rsid w:val="4BE8259F"/>
    <w:rsid w:val="4C0C6ECB"/>
    <w:rsid w:val="4C3C21A3"/>
    <w:rsid w:val="4C5A2B74"/>
    <w:rsid w:val="4CCA79BB"/>
    <w:rsid w:val="4D2D20D9"/>
    <w:rsid w:val="4D317F76"/>
    <w:rsid w:val="4D3C69F8"/>
    <w:rsid w:val="4D784E5B"/>
    <w:rsid w:val="4DA074F7"/>
    <w:rsid w:val="4DA33F07"/>
    <w:rsid w:val="4DDE52C0"/>
    <w:rsid w:val="4E172040"/>
    <w:rsid w:val="4ED7026C"/>
    <w:rsid w:val="4EDD03B5"/>
    <w:rsid w:val="4F337FD5"/>
    <w:rsid w:val="4F526BF1"/>
    <w:rsid w:val="4F75345F"/>
    <w:rsid w:val="4FA330BC"/>
    <w:rsid w:val="4FC2427A"/>
    <w:rsid w:val="508E5E86"/>
    <w:rsid w:val="50A0169A"/>
    <w:rsid w:val="50A1397F"/>
    <w:rsid w:val="51367791"/>
    <w:rsid w:val="51B26705"/>
    <w:rsid w:val="51C75DFE"/>
    <w:rsid w:val="51C943EB"/>
    <w:rsid w:val="521560B8"/>
    <w:rsid w:val="524114C4"/>
    <w:rsid w:val="52741FCB"/>
    <w:rsid w:val="52B66C52"/>
    <w:rsid w:val="52CA1464"/>
    <w:rsid w:val="52D06B10"/>
    <w:rsid w:val="52D52291"/>
    <w:rsid w:val="52F368EA"/>
    <w:rsid w:val="53112879"/>
    <w:rsid w:val="533D58C6"/>
    <w:rsid w:val="534A3B3F"/>
    <w:rsid w:val="53536515"/>
    <w:rsid w:val="536B21BA"/>
    <w:rsid w:val="53A862CC"/>
    <w:rsid w:val="542645AC"/>
    <w:rsid w:val="542A0FDA"/>
    <w:rsid w:val="54484523"/>
    <w:rsid w:val="545729B8"/>
    <w:rsid w:val="546C11F4"/>
    <w:rsid w:val="546E1AAF"/>
    <w:rsid w:val="547A228A"/>
    <w:rsid w:val="54857525"/>
    <w:rsid w:val="54D77655"/>
    <w:rsid w:val="54ED53D0"/>
    <w:rsid w:val="55091CCC"/>
    <w:rsid w:val="553F73F6"/>
    <w:rsid w:val="55B62A6C"/>
    <w:rsid w:val="55C67DF5"/>
    <w:rsid w:val="55E55DA1"/>
    <w:rsid w:val="55FA184D"/>
    <w:rsid w:val="560D3DAD"/>
    <w:rsid w:val="560F3FF6"/>
    <w:rsid w:val="56307253"/>
    <w:rsid w:val="56453199"/>
    <w:rsid w:val="56FF2FA4"/>
    <w:rsid w:val="577E0FBB"/>
    <w:rsid w:val="57917C49"/>
    <w:rsid w:val="582F6DAB"/>
    <w:rsid w:val="58366D88"/>
    <w:rsid w:val="58452C81"/>
    <w:rsid w:val="58484521"/>
    <w:rsid w:val="588910E4"/>
    <w:rsid w:val="58977827"/>
    <w:rsid w:val="58AD45AF"/>
    <w:rsid w:val="58D4718C"/>
    <w:rsid w:val="59274DA4"/>
    <w:rsid w:val="597131E7"/>
    <w:rsid w:val="599211F9"/>
    <w:rsid w:val="59A82CA5"/>
    <w:rsid w:val="59E82DE9"/>
    <w:rsid w:val="59F1750E"/>
    <w:rsid w:val="5A943456"/>
    <w:rsid w:val="5ABD109B"/>
    <w:rsid w:val="5ACD1359"/>
    <w:rsid w:val="5AD514E8"/>
    <w:rsid w:val="5AD536B4"/>
    <w:rsid w:val="5AEA4CCC"/>
    <w:rsid w:val="5AFE1DDF"/>
    <w:rsid w:val="5B031B11"/>
    <w:rsid w:val="5B2C4517"/>
    <w:rsid w:val="5B96574B"/>
    <w:rsid w:val="5C2A4141"/>
    <w:rsid w:val="5C5A652B"/>
    <w:rsid w:val="5CE305DA"/>
    <w:rsid w:val="5D3E5EBD"/>
    <w:rsid w:val="5D526412"/>
    <w:rsid w:val="5D9E1858"/>
    <w:rsid w:val="5DA6514B"/>
    <w:rsid w:val="5DDD75C3"/>
    <w:rsid w:val="5DE138D8"/>
    <w:rsid w:val="5E1921ED"/>
    <w:rsid w:val="5EF07A1A"/>
    <w:rsid w:val="5F0F419B"/>
    <w:rsid w:val="5F6E6E08"/>
    <w:rsid w:val="5F7D5E8E"/>
    <w:rsid w:val="5F7F522A"/>
    <w:rsid w:val="5FD72BFF"/>
    <w:rsid w:val="5FFC4413"/>
    <w:rsid w:val="601337BB"/>
    <w:rsid w:val="60762DC3"/>
    <w:rsid w:val="60D51B2B"/>
    <w:rsid w:val="60D8171C"/>
    <w:rsid w:val="613F5B80"/>
    <w:rsid w:val="617F2D1C"/>
    <w:rsid w:val="61891CD7"/>
    <w:rsid w:val="61BB2E13"/>
    <w:rsid w:val="61E60C16"/>
    <w:rsid w:val="61F02772"/>
    <w:rsid w:val="62312A9A"/>
    <w:rsid w:val="6283706E"/>
    <w:rsid w:val="62A87E16"/>
    <w:rsid w:val="62C43294"/>
    <w:rsid w:val="62CA561A"/>
    <w:rsid w:val="6313315F"/>
    <w:rsid w:val="636F1D94"/>
    <w:rsid w:val="637172BE"/>
    <w:rsid w:val="6377272F"/>
    <w:rsid w:val="638B7F88"/>
    <w:rsid w:val="63AC61AF"/>
    <w:rsid w:val="63CD6C1F"/>
    <w:rsid w:val="63ED2BB1"/>
    <w:rsid w:val="640146EE"/>
    <w:rsid w:val="64813139"/>
    <w:rsid w:val="648D270F"/>
    <w:rsid w:val="64A56430"/>
    <w:rsid w:val="64C32574"/>
    <w:rsid w:val="656D411A"/>
    <w:rsid w:val="65A370BE"/>
    <w:rsid w:val="65A96B25"/>
    <w:rsid w:val="65BB2793"/>
    <w:rsid w:val="65DD5A8E"/>
    <w:rsid w:val="65FB46E7"/>
    <w:rsid w:val="66140709"/>
    <w:rsid w:val="667027CF"/>
    <w:rsid w:val="6688694C"/>
    <w:rsid w:val="669C0CF3"/>
    <w:rsid w:val="66B22301"/>
    <w:rsid w:val="66D41C46"/>
    <w:rsid w:val="670D4A21"/>
    <w:rsid w:val="67404FA6"/>
    <w:rsid w:val="67550FD9"/>
    <w:rsid w:val="67B6759E"/>
    <w:rsid w:val="68076E78"/>
    <w:rsid w:val="68245589"/>
    <w:rsid w:val="68391610"/>
    <w:rsid w:val="68777DD2"/>
    <w:rsid w:val="68CF442F"/>
    <w:rsid w:val="695A2A69"/>
    <w:rsid w:val="69605A13"/>
    <w:rsid w:val="6969172B"/>
    <w:rsid w:val="6991013E"/>
    <w:rsid w:val="69983CE0"/>
    <w:rsid w:val="69A22965"/>
    <w:rsid w:val="69AC5C4D"/>
    <w:rsid w:val="6A1C1694"/>
    <w:rsid w:val="6A2E2472"/>
    <w:rsid w:val="6A303461"/>
    <w:rsid w:val="6A4175F2"/>
    <w:rsid w:val="6A751DB0"/>
    <w:rsid w:val="6A9E5A1B"/>
    <w:rsid w:val="6AB95533"/>
    <w:rsid w:val="6AE057A5"/>
    <w:rsid w:val="6B0171BB"/>
    <w:rsid w:val="6B037E0E"/>
    <w:rsid w:val="6BBE4E93"/>
    <w:rsid w:val="6BDD2B0A"/>
    <w:rsid w:val="6BDE41BB"/>
    <w:rsid w:val="6BF40AC7"/>
    <w:rsid w:val="6C040D59"/>
    <w:rsid w:val="6C0F4CC5"/>
    <w:rsid w:val="6C141D47"/>
    <w:rsid w:val="6C5462A8"/>
    <w:rsid w:val="6C7041BF"/>
    <w:rsid w:val="6C7E32EE"/>
    <w:rsid w:val="6C917FD7"/>
    <w:rsid w:val="6C975BF0"/>
    <w:rsid w:val="6D3979D7"/>
    <w:rsid w:val="6DEE183F"/>
    <w:rsid w:val="6E401402"/>
    <w:rsid w:val="6E467DF4"/>
    <w:rsid w:val="6E5A6DD8"/>
    <w:rsid w:val="6E720998"/>
    <w:rsid w:val="6E977F96"/>
    <w:rsid w:val="6EC67DFF"/>
    <w:rsid w:val="6EEE3AC1"/>
    <w:rsid w:val="6EF81A16"/>
    <w:rsid w:val="6F0C245A"/>
    <w:rsid w:val="6F1522E3"/>
    <w:rsid w:val="6F3574FF"/>
    <w:rsid w:val="6F6F7A6D"/>
    <w:rsid w:val="6F711F0A"/>
    <w:rsid w:val="6FBB0862"/>
    <w:rsid w:val="6FD35191"/>
    <w:rsid w:val="70106954"/>
    <w:rsid w:val="70223DF2"/>
    <w:rsid w:val="70240778"/>
    <w:rsid w:val="71BB7860"/>
    <w:rsid w:val="71C1726B"/>
    <w:rsid w:val="72440385"/>
    <w:rsid w:val="72CC236B"/>
    <w:rsid w:val="730568CC"/>
    <w:rsid w:val="73216213"/>
    <w:rsid w:val="734877EC"/>
    <w:rsid w:val="73761484"/>
    <w:rsid w:val="73EA0CFB"/>
    <w:rsid w:val="74132478"/>
    <w:rsid w:val="743F3C99"/>
    <w:rsid w:val="7446033F"/>
    <w:rsid w:val="74835482"/>
    <w:rsid w:val="74877DC7"/>
    <w:rsid w:val="74CB436F"/>
    <w:rsid w:val="74D104C9"/>
    <w:rsid w:val="74DB35C2"/>
    <w:rsid w:val="750F5290"/>
    <w:rsid w:val="755328D0"/>
    <w:rsid w:val="757D656B"/>
    <w:rsid w:val="75890D8F"/>
    <w:rsid w:val="75B043EA"/>
    <w:rsid w:val="75C36E84"/>
    <w:rsid w:val="76232A00"/>
    <w:rsid w:val="762D4446"/>
    <w:rsid w:val="76D90F68"/>
    <w:rsid w:val="77280C7C"/>
    <w:rsid w:val="773D616F"/>
    <w:rsid w:val="77660E93"/>
    <w:rsid w:val="77A613DD"/>
    <w:rsid w:val="77BB58EB"/>
    <w:rsid w:val="77C1540B"/>
    <w:rsid w:val="781F40D3"/>
    <w:rsid w:val="783E7320"/>
    <w:rsid w:val="786C7F30"/>
    <w:rsid w:val="789627D6"/>
    <w:rsid w:val="78C43643"/>
    <w:rsid w:val="78CB19C0"/>
    <w:rsid w:val="78F35EFE"/>
    <w:rsid w:val="78FF5669"/>
    <w:rsid w:val="793275BA"/>
    <w:rsid w:val="79515378"/>
    <w:rsid w:val="79A724F1"/>
    <w:rsid w:val="79B53B59"/>
    <w:rsid w:val="79C1605A"/>
    <w:rsid w:val="7A4B7878"/>
    <w:rsid w:val="7A6D100D"/>
    <w:rsid w:val="7AE25E90"/>
    <w:rsid w:val="7B4231CA"/>
    <w:rsid w:val="7B825670"/>
    <w:rsid w:val="7B925B48"/>
    <w:rsid w:val="7B946370"/>
    <w:rsid w:val="7BAF222A"/>
    <w:rsid w:val="7BB21B01"/>
    <w:rsid w:val="7C045F98"/>
    <w:rsid w:val="7C1B39D9"/>
    <w:rsid w:val="7C2E564F"/>
    <w:rsid w:val="7C3F1529"/>
    <w:rsid w:val="7C5F16F8"/>
    <w:rsid w:val="7C6929D9"/>
    <w:rsid w:val="7C8061BC"/>
    <w:rsid w:val="7C9D3E10"/>
    <w:rsid w:val="7CA82FB1"/>
    <w:rsid w:val="7CAF2E48"/>
    <w:rsid w:val="7CB122FF"/>
    <w:rsid w:val="7CCD47C2"/>
    <w:rsid w:val="7CDB38D7"/>
    <w:rsid w:val="7CE502B1"/>
    <w:rsid w:val="7CEC1F28"/>
    <w:rsid w:val="7CEE7194"/>
    <w:rsid w:val="7D4042D0"/>
    <w:rsid w:val="7D9E633E"/>
    <w:rsid w:val="7DA05FAF"/>
    <w:rsid w:val="7DBA67DE"/>
    <w:rsid w:val="7DE642E1"/>
    <w:rsid w:val="7DF53ACA"/>
    <w:rsid w:val="7DF7159A"/>
    <w:rsid w:val="7E7C50A3"/>
    <w:rsid w:val="7EB47316"/>
    <w:rsid w:val="7EBE3B57"/>
    <w:rsid w:val="7EF0118F"/>
    <w:rsid w:val="7F0E4C61"/>
    <w:rsid w:val="7F1817A3"/>
    <w:rsid w:val="7F3107D0"/>
    <w:rsid w:val="7F730924"/>
    <w:rsid w:val="7F7F4C0B"/>
    <w:rsid w:val="7FD603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next w:val="1"/>
    <w:semiHidden/>
    <w:qFormat/>
    <w:uiPriority w:val="0"/>
    <w:rPr>
      <w:rFonts w:ascii="仿宋" w:hAnsi="仿宋" w:eastAsia="仿宋" w:cs="仿宋"/>
      <w:sz w:val="31"/>
      <w:szCs w:val="31"/>
      <w:lang w:val="en-US" w:eastAsia="en-US" w:bidi="ar-SA"/>
    </w:rPr>
  </w:style>
  <w:style w:type="paragraph" w:styleId="5">
    <w:name w:val="footer"/>
    <w:basedOn w:val="1"/>
    <w:link w:val="15"/>
    <w:qFormat/>
    <w:uiPriority w:val="0"/>
    <w:pPr>
      <w:tabs>
        <w:tab w:val="center" w:pos="4153"/>
        <w:tab w:val="right" w:pos="8306"/>
      </w:tabs>
      <w:snapToGrid w:val="0"/>
      <w:jc w:val="left"/>
    </w:pPr>
    <w:rPr>
      <w:sz w:val="18"/>
      <w:szCs w:val="18"/>
    </w:rPr>
  </w:style>
  <w:style w:type="paragraph" w:styleId="6">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Autospacing="1" w:afterAutospacing="1"/>
      <w:jc w:val="left"/>
    </w:pPr>
    <w:rPr>
      <w:rFonts w:cs="Times New Roman"/>
      <w:kern w:val="0"/>
      <w:sz w:val="24"/>
    </w:rPr>
  </w:style>
  <w:style w:type="paragraph" w:styleId="8">
    <w:name w:val="Body Text First Indent"/>
    <w:basedOn w:val="4"/>
    <w:qFormat/>
    <w:uiPriority w:val="99"/>
    <w:pPr>
      <w:ind w:firstLine="420" w:firstLineChars="100"/>
    </w:pPr>
    <w:rPr>
      <w:rFonts w:ascii="Times New Roman" w:hAnsi="Times New Roman" w:eastAsia="宋体" w:cs="Times New Roman"/>
      <w:szCs w:val="21"/>
    </w:rPr>
  </w:style>
  <w:style w:type="table" w:styleId="10">
    <w:name w:val="Table Grid"/>
    <w:basedOn w:val="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
    <w:name w:val="Emphasis"/>
    <w:qFormat/>
    <w:uiPriority w:val="0"/>
    <w:rPr>
      <w:i/>
    </w:rPr>
  </w:style>
  <w:style w:type="paragraph" w:customStyle="1" w:styleId="13">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4">
    <w:name w:val="页眉 Char"/>
    <w:basedOn w:val="11"/>
    <w:link w:val="6"/>
    <w:qFormat/>
    <w:uiPriority w:val="0"/>
    <w:rPr>
      <w:rFonts w:asciiTheme="minorHAnsi" w:hAnsiTheme="minorHAnsi" w:eastAsiaTheme="minorEastAsia" w:cstheme="minorBidi"/>
      <w:kern w:val="2"/>
      <w:sz w:val="18"/>
      <w:szCs w:val="18"/>
    </w:rPr>
  </w:style>
  <w:style w:type="character" w:customStyle="1" w:styleId="15">
    <w:name w:val="页脚 Char"/>
    <w:basedOn w:val="11"/>
    <w:link w:val="5"/>
    <w:qFormat/>
    <w:uiPriority w:val="0"/>
    <w:rPr>
      <w:rFonts w:asciiTheme="minorHAnsi" w:hAnsiTheme="minorHAnsi" w:eastAsiaTheme="minorEastAsia" w:cstheme="minorBidi"/>
      <w:kern w:val="2"/>
      <w:sz w:val="18"/>
      <w:szCs w:val="18"/>
    </w:rPr>
  </w:style>
  <w:style w:type="paragraph" w:customStyle="1" w:styleId="16">
    <w:name w:val="普通正文"/>
    <w:basedOn w:val="1"/>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17">
    <w:name w:val="正文首行缩进 21"/>
    <w:basedOn w:val="18"/>
    <w:qFormat/>
    <w:uiPriority w:val="0"/>
    <w:pPr>
      <w:ind w:firstLine="420"/>
    </w:pPr>
  </w:style>
  <w:style w:type="paragraph" w:customStyle="1" w:styleId="18">
    <w:name w:val="正文文本缩进1"/>
    <w:basedOn w:val="1"/>
    <w:qFormat/>
    <w:uiPriority w:val="0"/>
    <w:pPr>
      <w:spacing w:after="120"/>
      <w:ind w:left="420"/>
    </w:pPr>
  </w:style>
  <w:style w:type="paragraph" w:customStyle="1" w:styleId="19">
    <w:name w:val="普通(网站)1"/>
    <w:basedOn w:val="1"/>
    <w:qFormat/>
    <w:uiPriority w:val="0"/>
    <w:pPr>
      <w:spacing w:beforeAutospacing="1" w:afterAutospacing="1"/>
      <w:jc w:val="left"/>
    </w:pPr>
    <w:rPr>
      <w:rFonts w:cs="Times New Roman"/>
      <w:sz w:val="24"/>
    </w:rPr>
  </w:style>
  <w:style w:type="paragraph" w:customStyle="1" w:styleId="20">
    <w:name w:val="正文文本缩进111"/>
    <w:basedOn w:val="1"/>
    <w:next w:val="1"/>
    <w:unhideWhenUsed/>
    <w:qFormat/>
    <w:uiPriority w:val="99"/>
    <w:pPr>
      <w:ind w:left="-105" w:firstLine="742"/>
    </w:pPr>
    <w:rPr>
      <w:rFonts w:eastAsia="仿宋_GB2312"/>
      <w:sz w:val="32"/>
      <w:szCs w:val="24"/>
    </w:rPr>
  </w:style>
  <w:style w:type="paragraph" w:styleId="21">
    <w:name w:val="List Paragraph"/>
    <w:basedOn w:val="1"/>
    <w:qFormat/>
    <w:uiPriority w:val="34"/>
    <w:pPr>
      <w:ind w:firstLine="42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58</Pages>
  <Words>21263</Words>
  <Characters>22637</Characters>
  <Lines>167</Lines>
  <Paragraphs>47</Paragraphs>
  <TotalTime>13</TotalTime>
  <ScaleCrop>false</ScaleCrop>
  <LinksUpToDate>false</LinksUpToDate>
  <CharactersWithSpaces>22875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三人行</cp:lastModifiedBy>
  <cp:lastPrinted>2026-04-27T07:23:00Z</cp:lastPrinted>
  <dcterms:modified xsi:type="dcterms:W3CDTF">2026-06-11T08:27:33Z</dcterms:modified>
  <cp:revision>272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DE94D4A601CC4518BECA6B5FB6EDFCDC_13</vt:lpwstr>
  </property>
  <property fmtid="{D5CDD505-2E9C-101B-9397-08002B2CF9AE}" pid="4" name="KSOTemplateDocerSaveRecord">
    <vt:lpwstr>eyJoZGlkIjoiZDM5MTIyMjY0NDYyNDYwYjljZmJmOTA3ZGIwZTBhMDUiLCJ1c2VySWQiOiIxMDc1NDEyMTE5In0=</vt:lpwstr>
  </property>
</Properties>
</file>